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A79E7" w14:textId="215052EC" w:rsidR="00B46047" w:rsidRPr="00B46047" w:rsidRDefault="00B46047" w:rsidP="00B46047">
      <w:pPr>
        <w:rPr>
          <w:rFonts w:eastAsia="Times New Roman" w:cstheme="minorHAnsi"/>
          <w:color w:val="000000" w:themeColor="text1"/>
          <w:sz w:val="22"/>
          <w:szCs w:val="22"/>
          <w:lang w:eastAsia="nl-NL"/>
        </w:rPr>
      </w:pPr>
      <w:r w:rsidRPr="00B46047">
        <w:rPr>
          <w:rFonts w:eastAsia="Times New Roman" w:cstheme="minorHAnsi"/>
          <w:color w:val="000000" w:themeColor="text1"/>
          <w:sz w:val="22"/>
          <w:szCs w:val="22"/>
          <w:lang w:eastAsia="nl-NL"/>
        </w:rPr>
        <w:t>De Aw en WSW toetsen per uitvraag de kwaliteit van de aangeleverde gegevens. Hierbij wordt risicogericht een aantal onderdelen van de uitvraag beoordeeld op datakwaliteit. De hieronder opgenomen bevindingen komen voort uit de analyse datakwaliteit dPi20</w:t>
      </w:r>
      <w:r w:rsidR="008120E9">
        <w:rPr>
          <w:rFonts w:eastAsia="Times New Roman" w:cstheme="minorHAnsi"/>
          <w:color w:val="000000" w:themeColor="text1"/>
          <w:sz w:val="22"/>
          <w:szCs w:val="22"/>
          <w:lang w:eastAsia="nl-NL"/>
        </w:rPr>
        <w:t xml:space="preserve">20 </w:t>
      </w:r>
      <w:r w:rsidRPr="00B46047">
        <w:rPr>
          <w:rFonts w:eastAsia="Times New Roman" w:cstheme="minorHAnsi"/>
          <w:color w:val="000000" w:themeColor="text1"/>
          <w:sz w:val="22"/>
          <w:szCs w:val="22"/>
          <w:lang w:eastAsia="nl-NL"/>
        </w:rPr>
        <w:t>van Aw en WSW. LET OP: dit overzicht heeft enkel betrekking op de onderdelen waar de Aw en WSW naar gekeken hebben ten aanzien van de datakwaliteit. Het kan dus voorkomen dat onderdelen, anders dan hieronder vermeld, onjuistheden dan wel onvolledigheden bevatten.</w:t>
      </w:r>
    </w:p>
    <w:p w14:paraId="682361F7" w14:textId="77777777" w:rsidR="00B46047" w:rsidRPr="00B46047" w:rsidRDefault="00B46047" w:rsidP="00B46047">
      <w:pPr>
        <w:rPr>
          <w:rFonts w:eastAsia="Times New Roman" w:cstheme="minorHAnsi"/>
          <w:sz w:val="22"/>
          <w:szCs w:val="22"/>
          <w:lang w:eastAsia="nl-NL"/>
        </w:rPr>
      </w:pPr>
    </w:p>
    <w:tbl>
      <w:tblPr>
        <w:tblW w:w="14449" w:type="dxa"/>
        <w:tblCellMar>
          <w:left w:w="70" w:type="dxa"/>
          <w:right w:w="70" w:type="dxa"/>
        </w:tblCellMar>
        <w:tblLook w:val="04A0" w:firstRow="1" w:lastRow="0" w:firstColumn="1" w:lastColumn="0" w:noHBand="0" w:noVBand="1"/>
      </w:tblPr>
      <w:tblGrid>
        <w:gridCol w:w="1092"/>
        <w:gridCol w:w="4169"/>
        <w:gridCol w:w="3579"/>
        <w:gridCol w:w="739"/>
        <w:gridCol w:w="4870"/>
      </w:tblGrid>
      <w:tr w:rsidR="001B5B19" w:rsidRPr="00B64018" w14:paraId="7CC710D1" w14:textId="77777777" w:rsidTr="006F4317">
        <w:trPr>
          <w:trHeight w:val="293"/>
        </w:trPr>
        <w:tc>
          <w:tcPr>
            <w:tcW w:w="109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07232C6" w14:textId="77777777" w:rsidR="00B64018" w:rsidRPr="00B64018" w:rsidRDefault="00B64018" w:rsidP="00B64018">
            <w:pPr>
              <w:rPr>
                <w:rFonts w:ascii="Calibri" w:eastAsia="Times New Roman" w:hAnsi="Calibri" w:cs="Calibri"/>
                <w:b/>
                <w:bCs/>
                <w:color w:val="000000"/>
                <w:sz w:val="22"/>
                <w:szCs w:val="22"/>
                <w:lang w:eastAsia="nl-NL"/>
              </w:rPr>
            </w:pPr>
            <w:r w:rsidRPr="00B64018">
              <w:rPr>
                <w:rFonts w:ascii="Calibri" w:eastAsia="Times New Roman" w:hAnsi="Calibri" w:cs="Calibri"/>
                <w:b/>
                <w:bCs/>
                <w:color w:val="000000"/>
                <w:sz w:val="22"/>
                <w:szCs w:val="22"/>
                <w:lang w:eastAsia="nl-NL"/>
              </w:rPr>
              <w:t>Hoofdstuk dPi</w:t>
            </w:r>
          </w:p>
        </w:tc>
        <w:tc>
          <w:tcPr>
            <w:tcW w:w="416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8129AF1" w14:textId="77777777" w:rsidR="00B64018" w:rsidRPr="00B64018" w:rsidRDefault="00B64018" w:rsidP="00B64018">
            <w:pPr>
              <w:rPr>
                <w:rFonts w:ascii="Calibri" w:eastAsia="Times New Roman" w:hAnsi="Calibri" w:cs="Calibri"/>
                <w:b/>
                <w:bCs/>
                <w:color w:val="000000"/>
                <w:sz w:val="22"/>
                <w:szCs w:val="22"/>
                <w:lang w:eastAsia="nl-NL"/>
              </w:rPr>
            </w:pPr>
            <w:r w:rsidRPr="00B64018">
              <w:rPr>
                <w:rFonts w:ascii="Calibri" w:eastAsia="Times New Roman" w:hAnsi="Calibri" w:cs="Calibri"/>
                <w:b/>
                <w:bCs/>
                <w:color w:val="000000"/>
                <w:sz w:val="22"/>
                <w:szCs w:val="22"/>
                <w:lang w:eastAsia="nl-NL"/>
              </w:rPr>
              <w:t>Onderdeel</w:t>
            </w:r>
          </w:p>
        </w:tc>
        <w:tc>
          <w:tcPr>
            <w:tcW w:w="357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CCECE30" w14:textId="77777777" w:rsidR="00B64018" w:rsidRPr="00B64018" w:rsidRDefault="00B64018" w:rsidP="00B64018">
            <w:pPr>
              <w:rPr>
                <w:rFonts w:ascii="Calibri" w:eastAsia="Times New Roman" w:hAnsi="Calibri" w:cs="Calibri"/>
                <w:b/>
                <w:bCs/>
                <w:color w:val="000000"/>
                <w:sz w:val="22"/>
                <w:szCs w:val="22"/>
                <w:lang w:eastAsia="nl-NL"/>
              </w:rPr>
            </w:pPr>
            <w:r w:rsidRPr="00B64018">
              <w:rPr>
                <w:rFonts w:ascii="Calibri" w:eastAsia="Times New Roman" w:hAnsi="Calibri" w:cs="Calibri"/>
                <w:b/>
                <w:bCs/>
                <w:color w:val="000000"/>
                <w:sz w:val="22"/>
                <w:szCs w:val="22"/>
                <w:lang w:eastAsia="nl-NL"/>
              </w:rPr>
              <w:t>Besch</w:t>
            </w:r>
            <w:r w:rsidR="001A4CD6">
              <w:rPr>
                <w:rFonts w:ascii="Calibri" w:eastAsia="Times New Roman" w:hAnsi="Calibri" w:cs="Calibri"/>
                <w:b/>
                <w:bCs/>
                <w:color w:val="000000"/>
                <w:sz w:val="22"/>
                <w:szCs w:val="22"/>
                <w:lang w:eastAsia="nl-NL"/>
              </w:rPr>
              <w:t>r</w:t>
            </w:r>
            <w:r w:rsidRPr="00B64018">
              <w:rPr>
                <w:rFonts w:ascii="Calibri" w:eastAsia="Times New Roman" w:hAnsi="Calibri" w:cs="Calibri"/>
                <w:b/>
                <w:bCs/>
                <w:color w:val="000000"/>
                <w:sz w:val="22"/>
                <w:szCs w:val="22"/>
                <w:lang w:eastAsia="nl-NL"/>
              </w:rPr>
              <w:t>ijving analyse</w:t>
            </w:r>
          </w:p>
        </w:tc>
        <w:tc>
          <w:tcPr>
            <w:tcW w:w="7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4C901F2" w14:textId="77777777" w:rsidR="00B64018" w:rsidRPr="00B64018" w:rsidRDefault="00B64018" w:rsidP="00B64018">
            <w:pPr>
              <w:rPr>
                <w:rFonts w:ascii="Calibri" w:eastAsia="Times New Roman" w:hAnsi="Calibri" w:cs="Calibri"/>
                <w:b/>
                <w:bCs/>
                <w:color w:val="000000"/>
                <w:sz w:val="22"/>
                <w:szCs w:val="22"/>
                <w:lang w:eastAsia="nl-NL"/>
              </w:rPr>
            </w:pPr>
            <w:r w:rsidRPr="00B64018">
              <w:rPr>
                <w:rFonts w:ascii="Calibri" w:eastAsia="Times New Roman" w:hAnsi="Calibri" w:cs="Calibri"/>
                <w:b/>
                <w:bCs/>
                <w:color w:val="000000"/>
                <w:sz w:val="22"/>
                <w:szCs w:val="22"/>
                <w:lang w:eastAsia="nl-NL"/>
              </w:rPr>
              <w:t>Aantal Hits</w:t>
            </w:r>
          </w:p>
        </w:tc>
        <w:tc>
          <w:tcPr>
            <w:tcW w:w="487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E5C7A27" w14:textId="77777777" w:rsidR="00B64018" w:rsidRPr="00B64018" w:rsidRDefault="00B64018" w:rsidP="00B64018">
            <w:pPr>
              <w:rPr>
                <w:rFonts w:ascii="Calibri" w:eastAsia="Times New Roman" w:hAnsi="Calibri" w:cs="Calibri"/>
                <w:b/>
                <w:bCs/>
                <w:color w:val="000000"/>
                <w:sz w:val="22"/>
                <w:szCs w:val="22"/>
                <w:lang w:eastAsia="nl-NL"/>
              </w:rPr>
            </w:pPr>
            <w:r w:rsidRPr="00B64018">
              <w:rPr>
                <w:rFonts w:ascii="Calibri" w:eastAsia="Times New Roman" w:hAnsi="Calibri" w:cs="Calibri"/>
                <w:b/>
                <w:bCs/>
                <w:color w:val="000000"/>
                <w:sz w:val="22"/>
                <w:szCs w:val="22"/>
                <w:lang w:eastAsia="nl-NL"/>
              </w:rPr>
              <w:t>Bevinding vanuit analyse</w:t>
            </w:r>
          </w:p>
        </w:tc>
      </w:tr>
      <w:tr w:rsidR="001B5B19" w:rsidRPr="00B64018" w14:paraId="6A9DF850" w14:textId="77777777" w:rsidTr="006F4317">
        <w:trPr>
          <w:trHeight w:val="293"/>
        </w:trPr>
        <w:tc>
          <w:tcPr>
            <w:tcW w:w="1092" w:type="dxa"/>
            <w:vMerge/>
            <w:tcBorders>
              <w:top w:val="single" w:sz="8" w:space="0" w:color="auto"/>
              <w:left w:val="single" w:sz="8" w:space="0" w:color="auto"/>
              <w:bottom w:val="single" w:sz="8" w:space="0" w:color="000000"/>
              <w:right w:val="single" w:sz="8" w:space="0" w:color="auto"/>
            </w:tcBorders>
            <w:vAlign w:val="center"/>
            <w:hideMark/>
          </w:tcPr>
          <w:p w14:paraId="7BDD1C48" w14:textId="77777777" w:rsidR="00B64018" w:rsidRPr="00B64018" w:rsidRDefault="00B64018" w:rsidP="00B64018">
            <w:pPr>
              <w:rPr>
                <w:rFonts w:ascii="Calibri" w:eastAsia="Times New Roman" w:hAnsi="Calibri" w:cs="Calibri"/>
                <w:b/>
                <w:bCs/>
                <w:color w:val="000000"/>
                <w:sz w:val="22"/>
                <w:szCs w:val="22"/>
                <w:lang w:eastAsia="nl-NL"/>
              </w:rPr>
            </w:pPr>
          </w:p>
        </w:tc>
        <w:tc>
          <w:tcPr>
            <w:tcW w:w="4169" w:type="dxa"/>
            <w:vMerge/>
            <w:tcBorders>
              <w:top w:val="single" w:sz="8" w:space="0" w:color="auto"/>
              <w:left w:val="single" w:sz="8" w:space="0" w:color="auto"/>
              <w:bottom w:val="single" w:sz="8" w:space="0" w:color="000000"/>
              <w:right w:val="single" w:sz="8" w:space="0" w:color="auto"/>
            </w:tcBorders>
            <w:vAlign w:val="center"/>
            <w:hideMark/>
          </w:tcPr>
          <w:p w14:paraId="6C92E7D2" w14:textId="77777777" w:rsidR="00B64018" w:rsidRPr="00B64018" w:rsidRDefault="00B64018" w:rsidP="00B64018">
            <w:pPr>
              <w:rPr>
                <w:rFonts w:ascii="Calibri" w:eastAsia="Times New Roman" w:hAnsi="Calibri" w:cs="Calibri"/>
                <w:b/>
                <w:bCs/>
                <w:color w:val="000000"/>
                <w:sz w:val="22"/>
                <w:szCs w:val="22"/>
                <w:lang w:eastAsia="nl-NL"/>
              </w:rPr>
            </w:pPr>
          </w:p>
        </w:tc>
        <w:tc>
          <w:tcPr>
            <w:tcW w:w="3579" w:type="dxa"/>
            <w:vMerge/>
            <w:tcBorders>
              <w:top w:val="single" w:sz="8" w:space="0" w:color="auto"/>
              <w:left w:val="single" w:sz="8" w:space="0" w:color="auto"/>
              <w:bottom w:val="single" w:sz="8" w:space="0" w:color="000000"/>
              <w:right w:val="single" w:sz="8" w:space="0" w:color="auto"/>
            </w:tcBorders>
            <w:vAlign w:val="center"/>
            <w:hideMark/>
          </w:tcPr>
          <w:p w14:paraId="5AD45242" w14:textId="77777777" w:rsidR="00B64018" w:rsidRPr="00B64018" w:rsidRDefault="00B64018" w:rsidP="00B64018">
            <w:pPr>
              <w:rPr>
                <w:rFonts w:ascii="Calibri" w:eastAsia="Times New Roman" w:hAnsi="Calibri" w:cs="Calibri"/>
                <w:b/>
                <w:bCs/>
                <w:color w:val="000000"/>
                <w:sz w:val="22"/>
                <w:szCs w:val="22"/>
                <w:lang w:eastAsia="nl-NL"/>
              </w:rPr>
            </w:pPr>
          </w:p>
        </w:tc>
        <w:tc>
          <w:tcPr>
            <w:tcW w:w="739" w:type="dxa"/>
            <w:vMerge/>
            <w:tcBorders>
              <w:top w:val="single" w:sz="8" w:space="0" w:color="auto"/>
              <w:left w:val="single" w:sz="8" w:space="0" w:color="auto"/>
              <w:bottom w:val="single" w:sz="8" w:space="0" w:color="000000"/>
              <w:right w:val="single" w:sz="8" w:space="0" w:color="auto"/>
            </w:tcBorders>
            <w:vAlign w:val="center"/>
            <w:hideMark/>
          </w:tcPr>
          <w:p w14:paraId="1E648844" w14:textId="77777777" w:rsidR="00B64018" w:rsidRPr="00B64018" w:rsidRDefault="00B64018" w:rsidP="00B64018">
            <w:pPr>
              <w:rPr>
                <w:rFonts w:ascii="Calibri" w:eastAsia="Times New Roman" w:hAnsi="Calibri" w:cs="Calibri"/>
                <w:b/>
                <w:bCs/>
                <w:color w:val="000000"/>
                <w:sz w:val="22"/>
                <w:szCs w:val="22"/>
                <w:lang w:eastAsia="nl-NL"/>
              </w:rPr>
            </w:pPr>
          </w:p>
        </w:tc>
        <w:tc>
          <w:tcPr>
            <w:tcW w:w="4870" w:type="dxa"/>
            <w:vMerge/>
            <w:tcBorders>
              <w:top w:val="single" w:sz="8" w:space="0" w:color="auto"/>
              <w:left w:val="single" w:sz="8" w:space="0" w:color="auto"/>
              <w:bottom w:val="single" w:sz="8" w:space="0" w:color="000000"/>
              <w:right w:val="single" w:sz="8" w:space="0" w:color="auto"/>
            </w:tcBorders>
            <w:vAlign w:val="center"/>
            <w:hideMark/>
          </w:tcPr>
          <w:p w14:paraId="11CC6DD3" w14:textId="77777777" w:rsidR="00B64018" w:rsidRPr="00B64018" w:rsidRDefault="00B64018" w:rsidP="00B64018">
            <w:pPr>
              <w:rPr>
                <w:rFonts w:ascii="Calibri" w:eastAsia="Times New Roman" w:hAnsi="Calibri" w:cs="Calibri"/>
                <w:b/>
                <w:bCs/>
                <w:color w:val="000000"/>
                <w:sz w:val="22"/>
                <w:szCs w:val="22"/>
                <w:lang w:eastAsia="nl-NL"/>
              </w:rPr>
            </w:pPr>
          </w:p>
        </w:tc>
      </w:tr>
      <w:tr w:rsidR="001B5B19" w:rsidRPr="00B64018" w14:paraId="37168FAD" w14:textId="77777777" w:rsidTr="006F4317">
        <w:trPr>
          <w:trHeight w:val="960"/>
        </w:trPr>
        <w:tc>
          <w:tcPr>
            <w:tcW w:w="1092" w:type="dxa"/>
            <w:tcBorders>
              <w:top w:val="nil"/>
              <w:left w:val="single" w:sz="8" w:space="0" w:color="auto"/>
              <w:bottom w:val="single" w:sz="4" w:space="0" w:color="auto"/>
              <w:right w:val="single" w:sz="4" w:space="0" w:color="auto"/>
            </w:tcBorders>
            <w:shd w:val="clear" w:color="auto" w:fill="auto"/>
            <w:hideMark/>
          </w:tcPr>
          <w:p w14:paraId="494C0BE6" w14:textId="331BC516" w:rsidR="00B64018" w:rsidRPr="00B64018" w:rsidRDefault="008F44EC" w:rsidP="00B6401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2.1</w:t>
            </w:r>
          </w:p>
        </w:tc>
        <w:tc>
          <w:tcPr>
            <w:tcW w:w="4169" w:type="dxa"/>
            <w:tcBorders>
              <w:top w:val="nil"/>
              <w:left w:val="nil"/>
              <w:bottom w:val="single" w:sz="4" w:space="0" w:color="auto"/>
              <w:right w:val="single" w:sz="4" w:space="0" w:color="auto"/>
            </w:tcBorders>
            <w:shd w:val="clear" w:color="auto" w:fill="auto"/>
          </w:tcPr>
          <w:p w14:paraId="0571538B" w14:textId="41F291AD" w:rsidR="00E40382" w:rsidRPr="00B64018" w:rsidRDefault="008F44EC" w:rsidP="00B6401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Activiteitenoverzicht</w:t>
            </w:r>
          </w:p>
        </w:tc>
        <w:tc>
          <w:tcPr>
            <w:tcW w:w="3579" w:type="dxa"/>
            <w:tcBorders>
              <w:top w:val="nil"/>
              <w:left w:val="nil"/>
              <w:bottom w:val="single" w:sz="4" w:space="0" w:color="auto"/>
              <w:right w:val="single" w:sz="4" w:space="0" w:color="auto"/>
            </w:tcBorders>
            <w:shd w:val="clear" w:color="auto" w:fill="auto"/>
          </w:tcPr>
          <w:p w14:paraId="679EBEEE" w14:textId="1EAE58F0" w:rsidR="00B64018" w:rsidRPr="00B64018" w:rsidRDefault="008F44EC" w:rsidP="00B64018">
            <w:pPr>
              <w:rPr>
                <w:rFonts w:ascii="Calibri" w:eastAsia="Times New Roman" w:hAnsi="Calibri" w:cs="Calibri"/>
                <w:color w:val="000000"/>
                <w:sz w:val="22"/>
                <w:szCs w:val="22"/>
                <w:lang w:eastAsia="nl-NL"/>
              </w:rPr>
            </w:pPr>
            <w:r w:rsidRPr="00B64018">
              <w:rPr>
                <w:rFonts w:ascii="Calibri" w:eastAsia="Times New Roman" w:hAnsi="Calibri" w:cs="Calibri"/>
                <w:color w:val="000000"/>
                <w:sz w:val="22"/>
                <w:szCs w:val="22"/>
                <w:lang w:eastAsia="nl-NL"/>
              </w:rPr>
              <w:t>Gemiddelde stichtingskosten</w:t>
            </w:r>
            <w:r w:rsidR="008120E9">
              <w:rPr>
                <w:rFonts w:ascii="Calibri" w:eastAsia="Times New Roman" w:hAnsi="Calibri" w:cs="Calibri"/>
                <w:color w:val="000000"/>
                <w:sz w:val="22"/>
                <w:szCs w:val="22"/>
                <w:lang w:eastAsia="nl-NL"/>
              </w:rPr>
              <w:t xml:space="preserve">, opbrengsten, </w:t>
            </w:r>
            <w:r>
              <w:rPr>
                <w:rFonts w:ascii="Calibri" w:eastAsia="Times New Roman" w:hAnsi="Calibri" w:cs="Calibri"/>
                <w:color w:val="000000"/>
                <w:sz w:val="22"/>
                <w:szCs w:val="22"/>
                <w:lang w:eastAsia="nl-NL"/>
              </w:rPr>
              <w:t>marktwaarde en</w:t>
            </w:r>
            <w:r w:rsidRPr="00B64018">
              <w:rPr>
                <w:rFonts w:ascii="Calibri" w:eastAsia="Times New Roman" w:hAnsi="Calibri" w:cs="Calibri"/>
                <w:color w:val="000000"/>
                <w:sz w:val="22"/>
                <w:szCs w:val="22"/>
                <w:lang w:eastAsia="nl-NL"/>
              </w:rPr>
              <w:t xml:space="preserve"> beleidswaarde</w:t>
            </w:r>
            <w:r>
              <w:rPr>
                <w:rFonts w:ascii="Calibri" w:eastAsia="Times New Roman" w:hAnsi="Calibri" w:cs="Calibri"/>
                <w:color w:val="000000"/>
                <w:sz w:val="22"/>
                <w:szCs w:val="22"/>
                <w:lang w:eastAsia="nl-NL"/>
              </w:rPr>
              <w:t xml:space="preserve"> op basis van alle jaren bij elkaar opgeteld bepaald.</w:t>
            </w:r>
          </w:p>
        </w:tc>
        <w:tc>
          <w:tcPr>
            <w:tcW w:w="739" w:type="dxa"/>
            <w:tcBorders>
              <w:top w:val="nil"/>
              <w:left w:val="nil"/>
              <w:bottom w:val="single" w:sz="4" w:space="0" w:color="auto"/>
              <w:right w:val="single" w:sz="4" w:space="0" w:color="auto"/>
            </w:tcBorders>
            <w:shd w:val="clear" w:color="auto" w:fill="auto"/>
          </w:tcPr>
          <w:p w14:paraId="500F9C95" w14:textId="76757D06" w:rsidR="00B64018" w:rsidRPr="00B64018" w:rsidRDefault="008120E9" w:rsidP="00B6401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51</w:t>
            </w:r>
          </w:p>
        </w:tc>
        <w:tc>
          <w:tcPr>
            <w:tcW w:w="4870" w:type="dxa"/>
            <w:tcBorders>
              <w:top w:val="nil"/>
              <w:left w:val="nil"/>
              <w:bottom w:val="single" w:sz="4" w:space="0" w:color="auto"/>
              <w:right w:val="single" w:sz="8" w:space="0" w:color="auto"/>
            </w:tcBorders>
            <w:shd w:val="clear" w:color="auto" w:fill="auto"/>
          </w:tcPr>
          <w:p w14:paraId="64422DB6" w14:textId="76B9BF3C" w:rsidR="008F44EC" w:rsidRDefault="008120E9" w:rsidP="00935A16">
            <w:pPr>
              <w:pStyle w:val="Lijstalinea"/>
              <w:numPr>
                <w:ilvl w:val="0"/>
                <w:numId w:val="11"/>
              </w:numPr>
              <w:rPr>
                <w:rFonts w:ascii="Calibri" w:eastAsia="Times New Roman" w:hAnsi="Calibri" w:cs="Calibri"/>
                <w:color w:val="000000"/>
                <w:sz w:val="22"/>
                <w:szCs w:val="22"/>
                <w:lang w:eastAsia="nl-NL"/>
              </w:rPr>
            </w:pPr>
            <w:r w:rsidRPr="008120E9">
              <w:rPr>
                <w:rFonts w:ascii="Calibri" w:eastAsia="Times New Roman" w:hAnsi="Calibri" w:cs="Calibri"/>
                <w:color w:val="000000"/>
                <w:sz w:val="22"/>
                <w:szCs w:val="22"/>
                <w:lang w:eastAsia="nl-NL"/>
              </w:rPr>
              <w:t>Onvolledige overzichten ingevuld (0 ingevuld bij onderdelen waar wel aantallen zijn ingevuld)</w:t>
            </w:r>
            <w:r>
              <w:rPr>
                <w:rFonts w:ascii="Calibri" w:eastAsia="Times New Roman" w:hAnsi="Calibri" w:cs="Calibri"/>
                <w:color w:val="000000"/>
                <w:sz w:val="22"/>
                <w:szCs w:val="22"/>
                <w:lang w:eastAsia="nl-NL"/>
              </w:rPr>
              <w:t>.</w:t>
            </w:r>
          </w:p>
          <w:p w14:paraId="48BA8895" w14:textId="6216EEA6" w:rsidR="00B0758F" w:rsidRPr="00935A16" w:rsidRDefault="008120E9" w:rsidP="008120E9">
            <w:pPr>
              <w:pStyle w:val="Lijstalinea"/>
              <w:numPr>
                <w:ilvl w:val="0"/>
                <w:numId w:val="11"/>
              </w:numPr>
              <w:rPr>
                <w:rFonts w:ascii="Calibri" w:eastAsia="Times New Roman" w:hAnsi="Calibri" w:cs="Calibri"/>
                <w:color w:val="000000"/>
                <w:sz w:val="22"/>
                <w:szCs w:val="22"/>
                <w:lang w:eastAsia="nl-NL"/>
              </w:rPr>
            </w:pPr>
            <w:r w:rsidRPr="008120E9">
              <w:rPr>
                <w:rFonts w:ascii="Calibri" w:eastAsia="Times New Roman" w:hAnsi="Calibri" w:cs="Calibri"/>
                <w:color w:val="000000"/>
                <w:sz w:val="22"/>
                <w:szCs w:val="22"/>
                <w:lang w:eastAsia="nl-NL"/>
              </w:rPr>
              <w:t>Gemiddelden vallen buiten een plausibele bandbreedte</w:t>
            </w:r>
            <w:r>
              <w:rPr>
                <w:rFonts w:ascii="Calibri" w:eastAsia="Times New Roman" w:hAnsi="Calibri" w:cs="Calibri"/>
                <w:color w:val="000000"/>
                <w:sz w:val="22"/>
                <w:szCs w:val="22"/>
                <w:lang w:eastAsia="nl-NL"/>
              </w:rPr>
              <w:t>.</w:t>
            </w:r>
          </w:p>
        </w:tc>
      </w:tr>
      <w:tr w:rsidR="001B5B19" w:rsidRPr="00B64018" w14:paraId="113670C5" w14:textId="77777777" w:rsidTr="006F4317">
        <w:trPr>
          <w:trHeight w:val="640"/>
        </w:trPr>
        <w:tc>
          <w:tcPr>
            <w:tcW w:w="1092" w:type="dxa"/>
            <w:tcBorders>
              <w:top w:val="nil"/>
              <w:left w:val="single" w:sz="8" w:space="0" w:color="auto"/>
              <w:bottom w:val="single" w:sz="4" w:space="0" w:color="auto"/>
              <w:right w:val="single" w:sz="4" w:space="0" w:color="auto"/>
            </w:tcBorders>
            <w:shd w:val="clear" w:color="auto" w:fill="auto"/>
          </w:tcPr>
          <w:p w14:paraId="7792A7A0" w14:textId="22500630" w:rsidR="00E40382" w:rsidRPr="00B64018" w:rsidRDefault="009B0F73" w:rsidP="00B6401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2.1 en 2.3</w:t>
            </w:r>
          </w:p>
        </w:tc>
        <w:tc>
          <w:tcPr>
            <w:tcW w:w="4169" w:type="dxa"/>
            <w:tcBorders>
              <w:top w:val="nil"/>
              <w:left w:val="nil"/>
              <w:bottom w:val="single" w:sz="4" w:space="0" w:color="auto"/>
              <w:right w:val="single" w:sz="4" w:space="0" w:color="auto"/>
            </w:tcBorders>
            <w:shd w:val="clear" w:color="auto" w:fill="auto"/>
            <w:noWrap/>
          </w:tcPr>
          <w:p w14:paraId="5035A5C7" w14:textId="7562AAEF" w:rsidR="00E40382" w:rsidRPr="00B64018" w:rsidRDefault="00F34572" w:rsidP="00B6401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Bezit (eenheden)</w:t>
            </w:r>
          </w:p>
        </w:tc>
        <w:tc>
          <w:tcPr>
            <w:tcW w:w="3579" w:type="dxa"/>
            <w:tcBorders>
              <w:top w:val="nil"/>
              <w:left w:val="nil"/>
              <w:bottom w:val="single" w:sz="4" w:space="0" w:color="auto"/>
              <w:right w:val="single" w:sz="4" w:space="0" w:color="auto"/>
            </w:tcBorders>
            <w:shd w:val="clear" w:color="auto" w:fill="auto"/>
          </w:tcPr>
          <w:p w14:paraId="3525987D" w14:textId="6A08A217" w:rsidR="00E40382" w:rsidRPr="00B64018" w:rsidRDefault="004D11DD" w:rsidP="00B6401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Aansluiting</w:t>
            </w:r>
            <w:r w:rsidR="00916615">
              <w:rPr>
                <w:rFonts w:ascii="Calibri" w:eastAsia="Times New Roman" w:hAnsi="Calibri" w:cs="Calibri"/>
                <w:color w:val="000000"/>
                <w:sz w:val="22"/>
                <w:szCs w:val="22"/>
                <w:lang w:eastAsia="nl-NL"/>
              </w:rPr>
              <w:t xml:space="preserve"> aantal vhe ultimo 20</w:t>
            </w:r>
            <w:r w:rsidR="008120E9">
              <w:rPr>
                <w:rFonts w:ascii="Calibri" w:eastAsia="Times New Roman" w:hAnsi="Calibri" w:cs="Calibri"/>
                <w:color w:val="000000"/>
                <w:sz w:val="22"/>
                <w:szCs w:val="22"/>
                <w:lang w:eastAsia="nl-NL"/>
              </w:rPr>
              <w:t>20</w:t>
            </w:r>
          </w:p>
        </w:tc>
        <w:tc>
          <w:tcPr>
            <w:tcW w:w="739" w:type="dxa"/>
            <w:tcBorders>
              <w:top w:val="nil"/>
              <w:left w:val="nil"/>
              <w:bottom w:val="single" w:sz="4" w:space="0" w:color="auto"/>
              <w:right w:val="single" w:sz="4" w:space="0" w:color="auto"/>
            </w:tcBorders>
            <w:shd w:val="clear" w:color="auto" w:fill="auto"/>
          </w:tcPr>
          <w:p w14:paraId="7E57BB0A" w14:textId="08D33D1E" w:rsidR="00916615" w:rsidRPr="00B64018" w:rsidRDefault="008120E9" w:rsidP="00B6401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47</w:t>
            </w:r>
          </w:p>
        </w:tc>
        <w:tc>
          <w:tcPr>
            <w:tcW w:w="4870" w:type="dxa"/>
            <w:tcBorders>
              <w:top w:val="nil"/>
              <w:left w:val="nil"/>
              <w:bottom w:val="single" w:sz="4" w:space="0" w:color="auto"/>
              <w:right w:val="single" w:sz="8" w:space="0" w:color="auto"/>
            </w:tcBorders>
            <w:shd w:val="clear" w:color="auto" w:fill="auto"/>
          </w:tcPr>
          <w:p w14:paraId="06AF615A" w14:textId="2FC39CCF" w:rsidR="00E40382" w:rsidRPr="00935A16" w:rsidRDefault="008120E9" w:rsidP="00935A16">
            <w:pPr>
              <w:pStyle w:val="Lijstalinea"/>
              <w:numPr>
                <w:ilvl w:val="0"/>
                <w:numId w:val="12"/>
              </w:numPr>
              <w:rPr>
                <w:rFonts w:ascii="Calibri" w:eastAsia="Times New Roman" w:hAnsi="Calibri" w:cs="Calibri"/>
                <w:color w:val="000000"/>
                <w:sz w:val="22"/>
                <w:szCs w:val="22"/>
                <w:lang w:eastAsia="nl-NL"/>
              </w:rPr>
            </w:pPr>
            <w:r w:rsidRPr="008120E9">
              <w:rPr>
                <w:rFonts w:ascii="Calibri" w:eastAsia="Times New Roman" w:hAnsi="Calibri" w:cs="Calibri"/>
                <w:color w:val="000000"/>
                <w:sz w:val="22"/>
                <w:szCs w:val="22"/>
                <w:lang w:eastAsia="nl-NL"/>
              </w:rPr>
              <w:t>Er is inconsistentie in het aantal eenheden als de eindstand 2020 aangesloten wordt op de eindstand 2019 vanuit de dVi, gecorrigeerd met de mutaties van het forecastjaar 2020 vanuit het activiteitenoverzicht.</w:t>
            </w:r>
          </w:p>
        </w:tc>
      </w:tr>
      <w:tr w:rsidR="001B5B19" w:rsidRPr="00B64018" w14:paraId="71E3C928" w14:textId="77777777" w:rsidTr="006F4317">
        <w:trPr>
          <w:trHeight w:val="640"/>
        </w:trPr>
        <w:tc>
          <w:tcPr>
            <w:tcW w:w="1092" w:type="dxa"/>
            <w:tcBorders>
              <w:top w:val="nil"/>
              <w:left w:val="single" w:sz="8" w:space="0" w:color="auto"/>
              <w:bottom w:val="single" w:sz="4" w:space="0" w:color="auto"/>
              <w:right w:val="single" w:sz="4" w:space="0" w:color="auto"/>
            </w:tcBorders>
            <w:shd w:val="clear" w:color="auto" w:fill="auto"/>
          </w:tcPr>
          <w:p w14:paraId="7090FC72" w14:textId="01703C20" w:rsidR="00916615" w:rsidRPr="00B64018" w:rsidRDefault="00916615" w:rsidP="00916615">
            <w:pPr>
              <w:rPr>
                <w:rFonts w:ascii="Calibri" w:eastAsia="Times New Roman" w:hAnsi="Calibri" w:cs="Calibri"/>
                <w:color w:val="000000"/>
                <w:sz w:val="22"/>
                <w:szCs w:val="22"/>
                <w:lang w:eastAsia="nl-NL"/>
              </w:rPr>
            </w:pPr>
            <w:r w:rsidRPr="00B64018">
              <w:rPr>
                <w:rFonts w:ascii="Calibri" w:eastAsia="Times New Roman" w:hAnsi="Calibri" w:cs="Calibri"/>
                <w:color w:val="000000"/>
                <w:sz w:val="22"/>
                <w:szCs w:val="22"/>
                <w:lang w:eastAsia="nl-NL"/>
              </w:rPr>
              <w:t>2.1 en 2.3</w:t>
            </w:r>
          </w:p>
        </w:tc>
        <w:tc>
          <w:tcPr>
            <w:tcW w:w="4169" w:type="dxa"/>
            <w:tcBorders>
              <w:top w:val="nil"/>
              <w:left w:val="nil"/>
              <w:bottom w:val="single" w:sz="4" w:space="0" w:color="auto"/>
              <w:right w:val="single" w:sz="4" w:space="0" w:color="auto"/>
            </w:tcBorders>
            <w:shd w:val="clear" w:color="auto" w:fill="auto"/>
            <w:noWrap/>
          </w:tcPr>
          <w:p w14:paraId="05319B2D" w14:textId="49BF555E" w:rsidR="00916615" w:rsidRPr="00B64018" w:rsidRDefault="00916615" w:rsidP="00916615">
            <w:pPr>
              <w:rPr>
                <w:rFonts w:ascii="Calibri" w:eastAsia="Times New Roman" w:hAnsi="Calibri" w:cs="Calibri"/>
                <w:color w:val="000000"/>
                <w:sz w:val="22"/>
                <w:szCs w:val="22"/>
                <w:lang w:eastAsia="nl-NL"/>
              </w:rPr>
            </w:pPr>
            <w:r w:rsidRPr="00B64018">
              <w:rPr>
                <w:rFonts w:ascii="Calibri" w:eastAsia="Times New Roman" w:hAnsi="Calibri" w:cs="Calibri"/>
                <w:color w:val="000000"/>
                <w:sz w:val="22"/>
                <w:szCs w:val="22"/>
                <w:lang w:eastAsia="nl-NL"/>
              </w:rPr>
              <w:t>Bezit (eenheden)</w:t>
            </w:r>
          </w:p>
        </w:tc>
        <w:tc>
          <w:tcPr>
            <w:tcW w:w="3579" w:type="dxa"/>
            <w:tcBorders>
              <w:top w:val="nil"/>
              <w:left w:val="nil"/>
              <w:bottom w:val="single" w:sz="4" w:space="0" w:color="auto"/>
              <w:right w:val="single" w:sz="4" w:space="0" w:color="auto"/>
            </w:tcBorders>
            <w:shd w:val="clear" w:color="auto" w:fill="auto"/>
          </w:tcPr>
          <w:p w14:paraId="5B1AC744" w14:textId="45891D49" w:rsidR="00916615" w:rsidRPr="00B64018" w:rsidRDefault="00916615" w:rsidP="00916615">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Aansluiting a</w:t>
            </w:r>
            <w:r w:rsidRPr="00B64018">
              <w:rPr>
                <w:rFonts w:ascii="Calibri" w:eastAsia="Times New Roman" w:hAnsi="Calibri" w:cs="Calibri"/>
                <w:color w:val="000000"/>
                <w:sz w:val="22"/>
                <w:szCs w:val="22"/>
                <w:lang w:eastAsia="nl-NL"/>
              </w:rPr>
              <w:t>antal vhe ultimo 20</w:t>
            </w:r>
            <w:r w:rsidR="008120E9">
              <w:rPr>
                <w:rFonts w:ascii="Calibri" w:eastAsia="Times New Roman" w:hAnsi="Calibri" w:cs="Calibri"/>
                <w:color w:val="000000"/>
                <w:sz w:val="22"/>
                <w:szCs w:val="22"/>
                <w:lang w:eastAsia="nl-NL"/>
              </w:rPr>
              <w:t>25</w:t>
            </w:r>
          </w:p>
        </w:tc>
        <w:tc>
          <w:tcPr>
            <w:tcW w:w="739" w:type="dxa"/>
            <w:tcBorders>
              <w:top w:val="nil"/>
              <w:left w:val="nil"/>
              <w:bottom w:val="single" w:sz="4" w:space="0" w:color="auto"/>
              <w:right w:val="single" w:sz="4" w:space="0" w:color="auto"/>
            </w:tcBorders>
            <w:shd w:val="clear" w:color="auto" w:fill="auto"/>
          </w:tcPr>
          <w:p w14:paraId="2D5B6534" w14:textId="49A669A7" w:rsidR="00916615" w:rsidRPr="00B64018" w:rsidRDefault="008120E9" w:rsidP="00916615">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w:t>
            </w:r>
          </w:p>
        </w:tc>
        <w:tc>
          <w:tcPr>
            <w:tcW w:w="4870" w:type="dxa"/>
            <w:tcBorders>
              <w:top w:val="nil"/>
              <w:left w:val="nil"/>
              <w:bottom w:val="single" w:sz="4" w:space="0" w:color="auto"/>
              <w:right w:val="single" w:sz="8" w:space="0" w:color="auto"/>
            </w:tcBorders>
            <w:shd w:val="clear" w:color="auto" w:fill="auto"/>
          </w:tcPr>
          <w:p w14:paraId="26464C24" w14:textId="11CB7655" w:rsidR="00916615" w:rsidRPr="00935A16" w:rsidRDefault="008120E9" w:rsidP="00916615">
            <w:pPr>
              <w:pStyle w:val="Lijstalinea"/>
              <w:numPr>
                <w:ilvl w:val="0"/>
                <w:numId w:val="12"/>
              </w:numPr>
              <w:rPr>
                <w:rFonts w:ascii="Calibri" w:eastAsia="Times New Roman" w:hAnsi="Calibri" w:cs="Calibri"/>
                <w:color w:val="000000"/>
                <w:sz w:val="22"/>
                <w:szCs w:val="22"/>
                <w:lang w:eastAsia="nl-NL"/>
              </w:rPr>
            </w:pPr>
            <w:r w:rsidRPr="008120E9">
              <w:rPr>
                <w:rFonts w:ascii="Calibri" w:eastAsia="Times New Roman" w:hAnsi="Calibri" w:cs="Calibri"/>
                <w:color w:val="000000"/>
                <w:sz w:val="22"/>
                <w:szCs w:val="22"/>
                <w:lang w:eastAsia="nl-NL"/>
              </w:rPr>
              <w:t>Er is inconsistentie in het aantal eenheden als de eindstand 202</w:t>
            </w:r>
            <w:r>
              <w:rPr>
                <w:rFonts w:ascii="Calibri" w:eastAsia="Times New Roman" w:hAnsi="Calibri" w:cs="Calibri"/>
                <w:color w:val="000000"/>
                <w:sz w:val="22"/>
                <w:szCs w:val="22"/>
                <w:lang w:eastAsia="nl-NL"/>
              </w:rPr>
              <w:t>5</w:t>
            </w:r>
            <w:r w:rsidRPr="008120E9">
              <w:rPr>
                <w:rFonts w:ascii="Calibri" w:eastAsia="Times New Roman" w:hAnsi="Calibri" w:cs="Calibri"/>
                <w:color w:val="000000"/>
                <w:sz w:val="22"/>
                <w:szCs w:val="22"/>
                <w:lang w:eastAsia="nl-NL"/>
              </w:rPr>
              <w:t xml:space="preserve"> aangesloten wordt op de eindstand 20</w:t>
            </w:r>
            <w:r>
              <w:rPr>
                <w:rFonts w:ascii="Calibri" w:eastAsia="Times New Roman" w:hAnsi="Calibri" w:cs="Calibri"/>
                <w:color w:val="000000"/>
                <w:sz w:val="22"/>
                <w:szCs w:val="22"/>
                <w:lang w:eastAsia="nl-NL"/>
              </w:rPr>
              <w:t>20</w:t>
            </w:r>
            <w:r w:rsidRPr="008120E9">
              <w:rPr>
                <w:rFonts w:ascii="Calibri" w:eastAsia="Times New Roman" w:hAnsi="Calibri" w:cs="Calibri"/>
                <w:color w:val="000000"/>
                <w:sz w:val="22"/>
                <w:szCs w:val="22"/>
                <w:lang w:eastAsia="nl-NL"/>
              </w:rPr>
              <w:t xml:space="preserve"> gecorrigeerd met de mutaties vanuit het activiteitenoverzicht.</w:t>
            </w:r>
          </w:p>
        </w:tc>
      </w:tr>
      <w:tr w:rsidR="001B5B19" w:rsidRPr="00B64018" w14:paraId="53DC1D93" w14:textId="77777777" w:rsidTr="006F4317">
        <w:trPr>
          <w:trHeight w:val="515"/>
        </w:trPr>
        <w:tc>
          <w:tcPr>
            <w:tcW w:w="1092" w:type="dxa"/>
            <w:tcBorders>
              <w:top w:val="nil"/>
              <w:left w:val="single" w:sz="8" w:space="0" w:color="auto"/>
              <w:bottom w:val="single" w:sz="4" w:space="0" w:color="auto"/>
              <w:right w:val="single" w:sz="4" w:space="0" w:color="auto"/>
            </w:tcBorders>
            <w:shd w:val="clear" w:color="auto" w:fill="auto"/>
          </w:tcPr>
          <w:p w14:paraId="4AA8F9B1" w14:textId="1C3ED9D6" w:rsidR="006C449E" w:rsidRPr="00B64018" w:rsidRDefault="006C449E" w:rsidP="006C449E">
            <w:pPr>
              <w:rPr>
                <w:rFonts w:ascii="Calibri" w:eastAsia="Times New Roman" w:hAnsi="Calibri" w:cs="Calibri"/>
                <w:color w:val="000000"/>
                <w:sz w:val="22"/>
                <w:szCs w:val="22"/>
                <w:lang w:eastAsia="nl-NL"/>
              </w:rPr>
            </w:pPr>
            <w:r w:rsidRPr="00B64018">
              <w:rPr>
                <w:rFonts w:ascii="Calibri" w:eastAsia="Times New Roman" w:hAnsi="Calibri" w:cs="Calibri"/>
                <w:color w:val="000000"/>
                <w:sz w:val="22"/>
                <w:szCs w:val="22"/>
                <w:lang w:eastAsia="nl-NL"/>
              </w:rPr>
              <w:t>3.</w:t>
            </w:r>
            <w:r w:rsidR="0065373E">
              <w:rPr>
                <w:rFonts w:ascii="Calibri" w:eastAsia="Times New Roman" w:hAnsi="Calibri" w:cs="Calibri"/>
                <w:color w:val="000000"/>
                <w:sz w:val="22"/>
                <w:szCs w:val="22"/>
                <w:lang w:eastAsia="nl-NL"/>
              </w:rPr>
              <w:t>1</w:t>
            </w:r>
          </w:p>
        </w:tc>
        <w:tc>
          <w:tcPr>
            <w:tcW w:w="4169" w:type="dxa"/>
            <w:tcBorders>
              <w:top w:val="nil"/>
              <w:left w:val="nil"/>
              <w:bottom w:val="single" w:sz="4" w:space="0" w:color="auto"/>
              <w:right w:val="single" w:sz="4" w:space="0" w:color="auto"/>
            </w:tcBorders>
            <w:shd w:val="clear" w:color="auto" w:fill="auto"/>
            <w:noWrap/>
          </w:tcPr>
          <w:p w14:paraId="4F7FE65F" w14:textId="59DF8CB9" w:rsidR="006C449E" w:rsidRPr="00B64018" w:rsidRDefault="006C449E" w:rsidP="006C449E">
            <w:pPr>
              <w:rPr>
                <w:rFonts w:ascii="Calibri" w:eastAsia="Times New Roman" w:hAnsi="Calibri" w:cs="Calibri"/>
                <w:color w:val="000000"/>
                <w:sz w:val="22"/>
                <w:szCs w:val="22"/>
                <w:lang w:eastAsia="nl-NL"/>
              </w:rPr>
            </w:pPr>
            <w:r w:rsidRPr="00B64018">
              <w:rPr>
                <w:rFonts w:ascii="Calibri" w:eastAsia="Times New Roman" w:hAnsi="Calibri" w:cs="Calibri"/>
                <w:color w:val="000000"/>
                <w:sz w:val="22"/>
                <w:szCs w:val="22"/>
                <w:lang w:eastAsia="nl-NL"/>
              </w:rPr>
              <w:t>Balans</w:t>
            </w:r>
          </w:p>
        </w:tc>
        <w:tc>
          <w:tcPr>
            <w:tcW w:w="3579" w:type="dxa"/>
            <w:tcBorders>
              <w:top w:val="nil"/>
              <w:left w:val="nil"/>
              <w:bottom w:val="single" w:sz="4" w:space="0" w:color="auto"/>
              <w:right w:val="single" w:sz="4" w:space="0" w:color="auto"/>
            </w:tcBorders>
            <w:shd w:val="clear" w:color="auto" w:fill="auto"/>
          </w:tcPr>
          <w:p w14:paraId="78B5BA00" w14:textId="2C031671" w:rsidR="006C449E" w:rsidRPr="00B64018" w:rsidRDefault="006C449E" w:rsidP="006C449E">
            <w:pPr>
              <w:rPr>
                <w:rFonts w:ascii="Calibri" w:eastAsia="Times New Roman" w:hAnsi="Calibri" w:cs="Calibri"/>
                <w:color w:val="000000"/>
                <w:sz w:val="22"/>
                <w:szCs w:val="22"/>
                <w:lang w:eastAsia="nl-NL"/>
              </w:rPr>
            </w:pPr>
            <w:r w:rsidRPr="00B64018">
              <w:rPr>
                <w:rFonts w:ascii="Calibri" w:eastAsia="Times New Roman" w:hAnsi="Calibri" w:cs="Calibri"/>
                <w:color w:val="000000"/>
                <w:sz w:val="22"/>
                <w:szCs w:val="22"/>
                <w:lang w:eastAsia="nl-NL"/>
              </w:rPr>
              <w:t xml:space="preserve">Aansluiting </w:t>
            </w:r>
            <w:r w:rsidR="0065373E">
              <w:rPr>
                <w:rFonts w:ascii="Calibri" w:eastAsia="Times New Roman" w:hAnsi="Calibri" w:cs="Calibri"/>
                <w:color w:val="000000"/>
                <w:sz w:val="22"/>
                <w:szCs w:val="22"/>
                <w:lang w:eastAsia="nl-NL"/>
              </w:rPr>
              <w:t>e</w:t>
            </w:r>
            <w:r w:rsidRPr="00B64018">
              <w:rPr>
                <w:rFonts w:ascii="Calibri" w:eastAsia="Times New Roman" w:hAnsi="Calibri" w:cs="Calibri"/>
                <w:color w:val="000000"/>
                <w:sz w:val="22"/>
                <w:szCs w:val="22"/>
                <w:lang w:eastAsia="nl-NL"/>
              </w:rPr>
              <w:t xml:space="preserve">igen vermogen </w:t>
            </w:r>
          </w:p>
        </w:tc>
        <w:tc>
          <w:tcPr>
            <w:tcW w:w="739" w:type="dxa"/>
            <w:tcBorders>
              <w:top w:val="nil"/>
              <w:left w:val="nil"/>
              <w:bottom w:val="single" w:sz="4" w:space="0" w:color="auto"/>
              <w:right w:val="single" w:sz="4" w:space="0" w:color="auto"/>
            </w:tcBorders>
            <w:shd w:val="clear" w:color="auto" w:fill="auto"/>
          </w:tcPr>
          <w:p w14:paraId="6EAD9CFD" w14:textId="3A28B80D" w:rsidR="006C449E" w:rsidRPr="00B64018" w:rsidRDefault="006B11EE" w:rsidP="006C449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3</w:t>
            </w:r>
          </w:p>
        </w:tc>
        <w:tc>
          <w:tcPr>
            <w:tcW w:w="4870" w:type="dxa"/>
            <w:tcBorders>
              <w:top w:val="nil"/>
              <w:left w:val="nil"/>
              <w:bottom w:val="single" w:sz="4" w:space="0" w:color="auto"/>
              <w:right w:val="single" w:sz="8" w:space="0" w:color="auto"/>
            </w:tcBorders>
            <w:shd w:val="clear" w:color="auto" w:fill="auto"/>
            <w:vAlign w:val="center"/>
          </w:tcPr>
          <w:p w14:paraId="01772BE8" w14:textId="015236CC" w:rsidR="006C449E" w:rsidRPr="00935A16" w:rsidRDefault="006C449E" w:rsidP="006C449E">
            <w:pPr>
              <w:pStyle w:val="Lijstalinea"/>
              <w:numPr>
                <w:ilvl w:val="0"/>
                <w:numId w:val="12"/>
              </w:numPr>
              <w:rPr>
                <w:rFonts w:ascii="Calibri" w:eastAsia="Times New Roman" w:hAnsi="Calibri" w:cs="Calibri"/>
                <w:color w:val="000000"/>
                <w:sz w:val="22"/>
                <w:szCs w:val="22"/>
                <w:lang w:eastAsia="nl-NL"/>
              </w:rPr>
            </w:pPr>
            <w:r w:rsidRPr="00935A16">
              <w:rPr>
                <w:rFonts w:ascii="Calibri" w:eastAsia="Times New Roman" w:hAnsi="Calibri" w:cs="Calibri"/>
                <w:color w:val="000000"/>
                <w:sz w:val="22"/>
                <w:szCs w:val="22"/>
                <w:lang w:eastAsia="nl-NL"/>
              </w:rPr>
              <w:t>Er is</w:t>
            </w:r>
            <w:r w:rsidR="00C61722">
              <w:rPr>
                <w:rFonts w:ascii="Calibri" w:eastAsia="Times New Roman" w:hAnsi="Calibri" w:cs="Calibri"/>
                <w:color w:val="000000"/>
                <w:sz w:val="22"/>
                <w:szCs w:val="22"/>
                <w:lang w:eastAsia="nl-NL"/>
              </w:rPr>
              <w:t xml:space="preserve"> sprake van </w:t>
            </w:r>
            <w:r w:rsidRPr="00935A16">
              <w:rPr>
                <w:rFonts w:ascii="Calibri" w:eastAsia="Times New Roman" w:hAnsi="Calibri" w:cs="Calibri"/>
                <w:color w:val="000000"/>
                <w:sz w:val="22"/>
                <w:szCs w:val="22"/>
                <w:lang w:eastAsia="nl-NL"/>
              </w:rPr>
              <w:t xml:space="preserve">inconsistentie </w:t>
            </w:r>
            <w:r w:rsidR="00C61722">
              <w:rPr>
                <w:rFonts w:ascii="Calibri" w:eastAsia="Times New Roman" w:hAnsi="Calibri" w:cs="Calibri"/>
                <w:color w:val="000000"/>
                <w:sz w:val="22"/>
                <w:szCs w:val="22"/>
                <w:lang w:eastAsia="nl-NL"/>
              </w:rPr>
              <w:t>van</w:t>
            </w:r>
            <w:r w:rsidRPr="00935A16">
              <w:rPr>
                <w:rFonts w:ascii="Calibri" w:eastAsia="Times New Roman" w:hAnsi="Calibri" w:cs="Calibri"/>
                <w:color w:val="000000"/>
                <w:sz w:val="22"/>
                <w:szCs w:val="22"/>
                <w:lang w:eastAsia="nl-NL"/>
              </w:rPr>
              <w:t xml:space="preserve"> het eigen vermogen tussen de </w:t>
            </w:r>
            <w:r w:rsidR="0065373E" w:rsidRPr="00935A16">
              <w:rPr>
                <w:rFonts w:ascii="Calibri" w:eastAsia="Times New Roman" w:hAnsi="Calibri" w:cs="Calibri"/>
                <w:color w:val="000000"/>
                <w:sz w:val="22"/>
                <w:szCs w:val="22"/>
                <w:lang w:eastAsia="nl-NL"/>
              </w:rPr>
              <w:t>DAEB-balans</w:t>
            </w:r>
            <w:r w:rsidRPr="00935A16">
              <w:rPr>
                <w:rFonts w:ascii="Calibri" w:eastAsia="Times New Roman" w:hAnsi="Calibri" w:cs="Calibri"/>
                <w:color w:val="000000"/>
                <w:sz w:val="22"/>
                <w:szCs w:val="22"/>
                <w:lang w:eastAsia="nl-NL"/>
              </w:rPr>
              <w:t xml:space="preserve"> en de enkelvoudige balans</w:t>
            </w:r>
            <w:r w:rsidR="00270282">
              <w:rPr>
                <w:rFonts w:ascii="Calibri" w:eastAsia="Times New Roman" w:hAnsi="Calibri" w:cs="Calibri"/>
                <w:color w:val="000000"/>
                <w:sz w:val="22"/>
                <w:szCs w:val="22"/>
                <w:lang w:eastAsia="nl-NL"/>
              </w:rPr>
              <w:t xml:space="preserve"> (administratieve en hybride scheiding)</w:t>
            </w:r>
            <w:r w:rsidRPr="00935A16">
              <w:rPr>
                <w:rFonts w:ascii="Calibri" w:eastAsia="Times New Roman" w:hAnsi="Calibri" w:cs="Calibri"/>
                <w:color w:val="000000"/>
                <w:sz w:val="22"/>
                <w:szCs w:val="22"/>
                <w:lang w:eastAsia="nl-NL"/>
              </w:rPr>
              <w:t xml:space="preserve">. </w:t>
            </w:r>
          </w:p>
        </w:tc>
      </w:tr>
      <w:tr w:rsidR="001B5B19" w:rsidRPr="00B64018" w14:paraId="4BBC47F5" w14:textId="77777777" w:rsidTr="006F4317">
        <w:trPr>
          <w:trHeight w:val="640"/>
        </w:trPr>
        <w:tc>
          <w:tcPr>
            <w:tcW w:w="1092" w:type="dxa"/>
            <w:tcBorders>
              <w:top w:val="nil"/>
              <w:left w:val="single" w:sz="8" w:space="0" w:color="auto"/>
              <w:bottom w:val="single" w:sz="4" w:space="0" w:color="auto"/>
              <w:right w:val="single" w:sz="4" w:space="0" w:color="auto"/>
            </w:tcBorders>
            <w:shd w:val="clear" w:color="auto" w:fill="auto"/>
          </w:tcPr>
          <w:p w14:paraId="788511A1" w14:textId="1B99E03B" w:rsidR="006B11EE" w:rsidRDefault="006B11EE" w:rsidP="006C449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4.3</w:t>
            </w:r>
          </w:p>
        </w:tc>
        <w:tc>
          <w:tcPr>
            <w:tcW w:w="4169" w:type="dxa"/>
            <w:tcBorders>
              <w:top w:val="nil"/>
              <w:left w:val="nil"/>
              <w:bottom w:val="single" w:sz="4" w:space="0" w:color="auto"/>
              <w:right w:val="single" w:sz="4" w:space="0" w:color="auto"/>
            </w:tcBorders>
            <w:shd w:val="clear" w:color="auto" w:fill="auto"/>
          </w:tcPr>
          <w:p w14:paraId="240242AE" w14:textId="1149CBC7" w:rsidR="006B11EE" w:rsidRDefault="006B11EE" w:rsidP="006C449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Interne Lening</w:t>
            </w:r>
          </w:p>
        </w:tc>
        <w:tc>
          <w:tcPr>
            <w:tcW w:w="3579" w:type="dxa"/>
            <w:tcBorders>
              <w:top w:val="nil"/>
              <w:left w:val="nil"/>
              <w:bottom w:val="single" w:sz="4" w:space="0" w:color="auto"/>
              <w:right w:val="single" w:sz="4" w:space="0" w:color="auto"/>
            </w:tcBorders>
            <w:shd w:val="clear" w:color="auto" w:fill="auto"/>
          </w:tcPr>
          <w:p w14:paraId="05C4C3FD" w14:textId="10858B64" w:rsidR="006B11EE" w:rsidRDefault="006B11EE" w:rsidP="00877987">
            <w:pPr>
              <w:rPr>
                <w:rFonts w:ascii="Verdana" w:hAnsi="Verdana"/>
                <w:sz w:val="18"/>
                <w:szCs w:val="18"/>
              </w:rPr>
            </w:pPr>
            <w:r w:rsidRPr="006B11EE">
              <w:rPr>
                <w:rFonts w:ascii="Verdana" w:hAnsi="Verdana"/>
                <w:sz w:val="18"/>
                <w:szCs w:val="18"/>
              </w:rPr>
              <w:t>Analyse aansluiting Interne Lening</w:t>
            </w:r>
          </w:p>
        </w:tc>
        <w:tc>
          <w:tcPr>
            <w:tcW w:w="739" w:type="dxa"/>
            <w:tcBorders>
              <w:top w:val="nil"/>
              <w:left w:val="nil"/>
              <w:bottom w:val="single" w:sz="4" w:space="0" w:color="auto"/>
              <w:right w:val="single" w:sz="4" w:space="0" w:color="auto"/>
            </w:tcBorders>
            <w:shd w:val="clear" w:color="auto" w:fill="auto"/>
          </w:tcPr>
          <w:p w14:paraId="689F6BEB" w14:textId="582E69AB" w:rsidR="006B11EE" w:rsidRDefault="006B11EE" w:rsidP="006C449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20</w:t>
            </w:r>
          </w:p>
        </w:tc>
        <w:tc>
          <w:tcPr>
            <w:tcW w:w="4870" w:type="dxa"/>
            <w:tcBorders>
              <w:top w:val="nil"/>
              <w:left w:val="nil"/>
              <w:bottom w:val="single" w:sz="4" w:space="0" w:color="auto"/>
              <w:right w:val="single" w:sz="8" w:space="0" w:color="auto"/>
            </w:tcBorders>
            <w:shd w:val="clear" w:color="auto" w:fill="auto"/>
          </w:tcPr>
          <w:p w14:paraId="46FBFA40" w14:textId="45F551F7" w:rsidR="006B11EE" w:rsidRDefault="006B11EE" w:rsidP="006C449E">
            <w:pPr>
              <w:pStyle w:val="Lijstalinea"/>
              <w:numPr>
                <w:ilvl w:val="0"/>
                <w:numId w:val="13"/>
              </w:numPr>
              <w:rPr>
                <w:rFonts w:ascii="Calibri" w:eastAsia="Times New Roman" w:hAnsi="Calibri" w:cs="Calibri"/>
                <w:color w:val="000000"/>
                <w:sz w:val="22"/>
                <w:szCs w:val="22"/>
                <w:lang w:eastAsia="nl-NL"/>
              </w:rPr>
            </w:pPr>
            <w:r w:rsidRPr="006B11EE">
              <w:rPr>
                <w:rFonts w:ascii="Calibri" w:eastAsia="Times New Roman" w:hAnsi="Calibri" w:cs="Calibri"/>
                <w:color w:val="000000"/>
                <w:sz w:val="22"/>
                <w:szCs w:val="22"/>
                <w:lang w:eastAsia="nl-NL"/>
              </w:rPr>
              <w:t>Er is</w:t>
            </w:r>
            <w:r w:rsidR="00C61722">
              <w:rPr>
                <w:rFonts w:ascii="Calibri" w:eastAsia="Times New Roman" w:hAnsi="Calibri" w:cs="Calibri"/>
                <w:color w:val="000000"/>
                <w:sz w:val="22"/>
                <w:szCs w:val="22"/>
                <w:lang w:eastAsia="nl-NL"/>
              </w:rPr>
              <w:t xml:space="preserve"> sprake van</w:t>
            </w:r>
            <w:r w:rsidRPr="006B11EE">
              <w:rPr>
                <w:rFonts w:ascii="Calibri" w:eastAsia="Times New Roman" w:hAnsi="Calibri" w:cs="Calibri"/>
                <w:color w:val="000000"/>
                <w:sz w:val="22"/>
                <w:szCs w:val="22"/>
                <w:lang w:eastAsia="nl-NL"/>
              </w:rPr>
              <w:t xml:space="preserve"> inconsistentie in de intern</w:t>
            </w:r>
            <w:r w:rsidR="006D1946">
              <w:rPr>
                <w:rFonts w:ascii="Calibri" w:eastAsia="Times New Roman" w:hAnsi="Calibri" w:cs="Calibri"/>
                <w:color w:val="000000"/>
                <w:sz w:val="22"/>
                <w:szCs w:val="22"/>
                <w:lang w:eastAsia="nl-NL"/>
              </w:rPr>
              <w:t xml:space="preserve">e </w:t>
            </w:r>
            <w:r w:rsidRPr="006B11EE">
              <w:rPr>
                <w:rFonts w:ascii="Calibri" w:eastAsia="Times New Roman" w:hAnsi="Calibri" w:cs="Calibri"/>
                <w:color w:val="000000"/>
                <w:sz w:val="22"/>
                <w:szCs w:val="22"/>
                <w:lang w:eastAsia="nl-NL"/>
              </w:rPr>
              <w:t>leningen als de beginstand 2020 aangesloten wordt op de eindstand 2019 vanuit de dVi.</w:t>
            </w:r>
          </w:p>
        </w:tc>
      </w:tr>
      <w:tr w:rsidR="001B5B19" w:rsidRPr="00B64018" w14:paraId="501CC693" w14:textId="77777777" w:rsidTr="006F4317">
        <w:trPr>
          <w:trHeight w:val="976"/>
        </w:trPr>
        <w:tc>
          <w:tcPr>
            <w:tcW w:w="1092" w:type="dxa"/>
            <w:tcBorders>
              <w:top w:val="nil"/>
              <w:left w:val="single" w:sz="8" w:space="0" w:color="auto"/>
              <w:bottom w:val="single" w:sz="4" w:space="0" w:color="auto"/>
              <w:right w:val="single" w:sz="4" w:space="0" w:color="auto"/>
            </w:tcBorders>
            <w:shd w:val="clear" w:color="auto" w:fill="auto"/>
          </w:tcPr>
          <w:p w14:paraId="3E677662" w14:textId="2056B6DE" w:rsidR="006C449E" w:rsidRPr="00B64018" w:rsidRDefault="00877987" w:rsidP="006C449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lastRenderedPageBreak/>
              <w:t>3.3 en 4.3</w:t>
            </w:r>
          </w:p>
        </w:tc>
        <w:tc>
          <w:tcPr>
            <w:tcW w:w="4169" w:type="dxa"/>
            <w:tcBorders>
              <w:top w:val="nil"/>
              <w:left w:val="nil"/>
              <w:bottom w:val="single" w:sz="4" w:space="0" w:color="auto"/>
              <w:right w:val="single" w:sz="4" w:space="0" w:color="auto"/>
            </w:tcBorders>
            <w:shd w:val="clear" w:color="auto" w:fill="auto"/>
          </w:tcPr>
          <w:p w14:paraId="223554B6" w14:textId="25F5E96C" w:rsidR="006C449E" w:rsidRPr="00B64018" w:rsidRDefault="00877987" w:rsidP="006C449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Rente</w:t>
            </w:r>
          </w:p>
        </w:tc>
        <w:tc>
          <w:tcPr>
            <w:tcW w:w="3579" w:type="dxa"/>
            <w:tcBorders>
              <w:top w:val="nil"/>
              <w:left w:val="nil"/>
              <w:bottom w:val="single" w:sz="4" w:space="0" w:color="auto"/>
              <w:right w:val="single" w:sz="4" w:space="0" w:color="auto"/>
            </w:tcBorders>
            <w:shd w:val="clear" w:color="auto" w:fill="auto"/>
          </w:tcPr>
          <w:p w14:paraId="72FF8C0D" w14:textId="3445FBDE" w:rsidR="006C449E" w:rsidRPr="00B64018" w:rsidRDefault="001E779A" w:rsidP="006C449E">
            <w:pPr>
              <w:rPr>
                <w:rFonts w:ascii="Calibri" w:eastAsia="Times New Roman" w:hAnsi="Calibri" w:cs="Calibri"/>
                <w:color w:val="000000"/>
                <w:sz w:val="22"/>
                <w:szCs w:val="22"/>
                <w:lang w:eastAsia="nl-NL"/>
              </w:rPr>
            </w:pPr>
            <w:r w:rsidRPr="001E779A">
              <w:rPr>
                <w:rFonts w:ascii="Verdana" w:hAnsi="Verdana"/>
                <w:sz w:val="18"/>
                <w:szCs w:val="18"/>
              </w:rPr>
              <w:t>Analyse waarbij verantwoord</w:t>
            </w:r>
            <w:r>
              <w:rPr>
                <w:rFonts w:ascii="Verdana" w:hAnsi="Verdana"/>
                <w:sz w:val="18"/>
                <w:szCs w:val="18"/>
              </w:rPr>
              <w:t>d</w:t>
            </w:r>
            <w:r w:rsidRPr="001E779A">
              <w:rPr>
                <w:rFonts w:ascii="Verdana" w:hAnsi="Verdana"/>
                <w:sz w:val="18"/>
                <w:szCs w:val="18"/>
              </w:rPr>
              <w:t>e rente in 3.3 kasstroomoverzicht minimaal gelijk dient te zijn aan de rente in 4.3.</w:t>
            </w:r>
          </w:p>
        </w:tc>
        <w:tc>
          <w:tcPr>
            <w:tcW w:w="739" w:type="dxa"/>
            <w:tcBorders>
              <w:top w:val="nil"/>
              <w:left w:val="nil"/>
              <w:bottom w:val="single" w:sz="4" w:space="0" w:color="auto"/>
              <w:right w:val="single" w:sz="4" w:space="0" w:color="auto"/>
            </w:tcBorders>
            <w:shd w:val="clear" w:color="auto" w:fill="auto"/>
          </w:tcPr>
          <w:p w14:paraId="50ACC8EE" w14:textId="664DFCE8" w:rsidR="006C449E" w:rsidRPr="00B64018" w:rsidRDefault="002F50ED" w:rsidP="006C449E">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w:t>
            </w:r>
          </w:p>
        </w:tc>
        <w:tc>
          <w:tcPr>
            <w:tcW w:w="4870" w:type="dxa"/>
            <w:tcBorders>
              <w:top w:val="nil"/>
              <w:left w:val="nil"/>
              <w:bottom w:val="single" w:sz="4" w:space="0" w:color="auto"/>
              <w:right w:val="single" w:sz="8" w:space="0" w:color="auto"/>
            </w:tcBorders>
            <w:shd w:val="clear" w:color="auto" w:fill="auto"/>
          </w:tcPr>
          <w:p w14:paraId="6C44BFD7" w14:textId="63F6C4D1" w:rsidR="006C449E" w:rsidRDefault="00110EDD" w:rsidP="006C449E">
            <w:pPr>
              <w:pStyle w:val="Lijstalinea"/>
              <w:numPr>
                <w:ilvl w:val="0"/>
                <w:numId w:val="13"/>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Het a</w:t>
            </w:r>
            <w:r w:rsidRPr="00110EDD">
              <w:rPr>
                <w:rFonts w:ascii="Calibri" w:eastAsia="Times New Roman" w:hAnsi="Calibri" w:cs="Calibri"/>
                <w:color w:val="000000"/>
                <w:sz w:val="22"/>
                <w:szCs w:val="22"/>
                <w:lang w:eastAsia="nl-NL"/>
              </w:rPr>
              <w:t>flossingsschema</w:t>
            </w:r>
            <w:r w:rsidR="00877987">
              <w:rPr>
                <w:rFonts w:ascii="Calibri" w:eastAsia="Times New Roman" w:hAnsi="Calibri" w:cs="Calibri"/>
                <w:color w:val="000000"/>
                <w:sz w:val="22"/>
                <w:szCs w:val="22"/>
                <w:lang w:eastAsia="nl-NL"/>
              </w:rPr>
              <w:t xml:space="preserve"> is onvolledig ingevuld.</w:t>
            </w:r>
          </w:p>
          <w:p w14:paraId="0FA53632" w14:textId="7BDC47DD" w:rsidR="00877987" w:rsidRPr="00110EDD" w:rsidRDefault="00877987" w:rsidP="001E779A">
            <w:pPr>
              <w:pStyle w:val="Lijstalinea"/>
              <w:ind w:left="360"/>
              <w:rPr>
                <w:rFonts w:ascii="Calibri" w:eastAsia="Times New Roman" w:hAnsi="Calibri" w:cs="Calibri"/>
                <w:color w:val="000000"/>
                <w:sz w:val="22"/>
                <w:szCs w:val="22"/>
                <w:lang w:eastAsia="nl-NL"/>
              </w:rPr>
            </w:pPr>
          </w:p>
        </w:tc>
      </w:tr>
      <w:tr w:rsidR="001B5B19" w:rsidRPr="00B64018" w14:paraId="00C0B6DB" w14:textId="77777777" w:rsidTr="006F4317">
        <w:trPr>
          <w:trHeight w:val="2973"/>
        </w:trPr>
        <w:tc>
          <w:tcPr>
            <w:tcW w:w="1092" w:type="dxa"/>
            <w:tcBorders>
              <w:top w:val="nil"/>
              <w:left w:val="single" w:sz="8" w:space="0" w:color="auto"/>
              <w:bottom w:val="single" w:sz="4" w:space="0" w:color="auto"/>
              <w:right w:val="single" w:sz="4" w:space="0" w:color="auto"/>
            </w:tcBorders>
            <w:shd w:val="clear" w:color="auto" w:fill="auto"/>
          </w:tcPr>
          <w:p w14:paraId="4500A95D" w14:textId="2EA2C5D9" w:rsidR="00C61722" w:rsidRDefault="00C61722" w:rsidP="00407F6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3.3 en 4.3</w:t>
            </w:r>
          </w:p>
        </w:tc>
        <w:tc>
          <w:tcPr>
            <w:tcW w:w="4169" w:type="dxa"/>
            <w:tcBorders>
              <w:top w:val="nil"/>
              <w:left w:val="nil"/>
              <w:bottom w:val="single" w:sz="4" w:space="0" w:color="auto"/>
              <w:right w:val="single" w:sz="4" w:space="0" w:color="auto"/>
            </w:tcBorders>
            <w:shd w:val="clear" w:color="auto" w:fill="auto"/>
          </w:tcPr>
          <w:p w14:paraId="456E2808" w14:textId="58A9C75E" w:rsidR="00C61722" w:rsidRDefault="00C61722" w:rsidP="00407F6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FVA Ontvangsten en uitgaven</w:t>
            </w:r>
          </w:p>
        </w:tc>
        <w:tc>
          <w:tcPr>
            <w:tcW w:w="3579" w:type="dxa"/>
            <w:tcBorders>
              <w:top w:val="nil"/>
              <w:left w:val="nil"/>
              <w:bottom w:val="single" w:sz="4" w:space="0" w:color="auto"/>
              <w:right w:val="single" w:sz="4" w:space="0" w:color="auto"/>
            </w:tcBorders>
            <w:shd w:val="clear" w:color="auto" w:fill="auto"/>
          </w:tcPr>
          <w:p w14:paraId="501C0A37" w14:textId="77777777" w:rsidR="00C61722" w:rsidRDefault="00C61722" w:rsidP="00C61722">
            <w:pPr>
              <w:pStyle w:val="Lijstalinea"/>
              <w:numPr>
                <w:ilvl w:val="0"/>
                <w:numId w:val="21"/>
              </w:numPr>
              <w:spacing w:after="200" w:line="276" w:lineRule="auto"/>
              <w:rPr>
                <w:rFonts w:ascii="Verdana" w:hAnsi="Verdana"/>
                <w:sz w:val="18"/>
                <w:szCs w:val="18"/>
              </w:rPr>
            </w:pPr>
            <w:r>
              <w:rPr>
                <w:rFonts w:ascii="Verdana" w:hAnsi="Verdana"/>
                <w:sz w:val="18"/>
                <w:szCs w:val="18"/>
              </w:rPr>
              <w:t>Verantwoorde FVA-ontvangsten DAEB in 3.3 kasstroomoverzicht dient minimaal gelijk te zijn aan de FVA uitgaven N-DAEB en 4.3 onderdeel aflossing.</w:t>
            </w:r>
          </w:p>
          <w:p w14:paraId="2E028D2E" w14:textId="5AB351C1" w:rsidR="00C61722" w:rsidRPr="00CF5234" w:rsidRDefault="00C61722" w:rsidP="00407F66">
            <w:pPr>
              <w:pStyle w:val="Lijstalinea"/>
              <w:numPr>
                <w:ilvl w:val="0"/>
                <w:numId w:val="21"/>
              </w:numPr>
              <w:spacing w:after="200" w:line="276" w:lineRule="auto"/>
              <w:rPr>
                <w:rFonts w:ascii="Verdana" w:hAnsi="Verdana"/>
                <w:sz w:val="18"/>
                <w:szCs w:val="18"/>
              </w:rPr>
            </w:pPr>
            <w:r>
              <w:rPr>
                <w:rFonts w:ascii="Verdana" w:hAnsi="Verdana"/>
                <w:sz w:val="18"/>
                <w:szCs w:val="18"/>
              </w:rPr>
              <w:t>Verantwoorde FVA uitgaven in DAEB in 3.3 kasstroomoverzicht dient minimaal gelijk te zijn aan de FVA ontvangsten N-DAEB en 4.3 onderdeel aflossing.</w:t>
            </w:r>
          </w:p>
        </w:tc>
        <w:tc>
          <w:tcPr>
            <w:tcW w:w="739" w:type="dxa"/>
            <w:tcBorders>
              <w:top w:val="nil"/>
              <w:left w:val="nil"/>
              <w:bottom w:val="single" w:sz="4" w:space="0" w:color="auto"/>
              <w:right w:val="single" w:sz="4" w:space="0" w:color="auto"/>
            </w:tcBorders>
            <w:shd w:val="clear" w:color="auto" w:fill="auto"/>
          </w:tcPr>
          <w:p w14:paraId="32EEE21F" w14:textId="47E9A737" w:rsidR="00C61722" w:rsidRDefault="004F4182" w:rsidP="00407F6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4</w:t>
            </w:r>
          </w:p>
        </w:tc>
        <w:tc>
          <w:tcPr>
            <w:tcW w:w="4870" w:type="dxa"/>
            <w:tcBorders>
              <w:top w:val="nil"/>
              <w:left w:val="nil"/>
              <w:bottom w:val="single" w:sz="4" w:space="0" w:color="auto"/>
              <w:right w:val="single" w:sz="8" w:space="0" w:color="auto"/>
            </w:tcBorders>
            <w:shd w:val="clear" w:color="auto" w:fill="auto"/>
          </w:tcPr>
          <w:p w14:paraId="76A7E145" w14:textId="77777777" w:rsidR="00C61722" w:rsidRDefault="00C61722" w:rsidP="00C61722">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w:t>
            </w:r>
            <w:r w:rsidRPr="006671AB">
              <w:rPr>
                <w:rFonts w:ascii="Calibri" w:eastAsia="Times New Roman" w:hAnsi="Calibri" w:cs="Calibri"/>
                <w:color w:val="000000"/>
                <w:sz w:val="22"/>
                <w:szCs w:val="22"/>
                <w:lang w:eastAsia="nl-NL"/>
              </w:rPr>
              <w:t xml:space="preserve">flossingen interne lening wijken af tussen DAEB-TI kasstromen, </w:t>
            </w:r>
            <w:r>
              <w:rPr>
                <w:rFonts w:ascii="Calibri" w:eastAsia="Times New Roman" w:hAnsi="Calibri" w:cs="Calibri"/>
                <w:color w:val="000000"/>
                <w:sz w:val="22"/>
                <w:szCs w:val="22"/>
                <w:lang w:eastAsia="nl-NL"/>
              </w:rPr>
              <w:t>niet D</w:t>
            </w:r>
            <w:r w:rsidRPr="006671AB">
              <w:rPr>
                <w:rFonts w:ascii="Calibri" w:eastAsia="Times New Roman" w:hAnsi="Calibri" w:cs="Calibri"/>
                <w:color w:val="000000"/>
                <w:sz w:val="22"/>
                <w:szCs w:val="22"/>
                <w:lang w:eastAsia="nl-NL"/>
              </w:rPr>
              <w:t>AEB-TI kasstromen en hoofdstuk 4.3</w:t>
            </w:r>
            <w:r>
              <w:rPr>
                <w:rFonts w:ascii="Calibri" w:eastAsia="Times New Roman" w:hAnsi="Calibri" w:cs="Calibri"/>
                <w:color w:val="000000"/>
                <w:sz w:val="22"/>
                <w:szCs w:val="22"/>
                <w:lang w:eastAsia="nl-NL"/>
              </w:rPr>
              <w:t>.</w:t>
            </w:r>
          </w:p>
          <w:p w14:paraId="217A0A3B" w14:textId="77777777" w:rsidR="00C61722" w:rsidRDefault="00C61722" w:rsidP="00C61722">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Bedragen zijn in de verkeerde regels in het kasstroomoverzicht FVA opgenomen.</w:t>
            </w:r>
          </w:p>
          <w:p w14:paraId="116592E3" w14:textId="61E73E24" w:rsidR="00C61722" w:rsidRDefault="00C61722" w:rsidP="00C61722">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Aflossingen van de interne leningen komen niet terug in het kasstroomoverzicht DAEB-TI.</w:t>
            </w:r>
          </w:p>
        </w:tc>
      </w:tr>
      <w:tr w:rsidR="001B5B19" w:rsidRPr="00B64018" w14:paraId="7A3F3F9C" w14:textId="77777777" w:rsidTr="006F4317">
        <w:trPr>
          <w:trHeight w:val="640"/>
        </w:trPr>
        <w:tc>
          <w:tcPr>
            <w:tcW w:w="1092" w:type="dxa"/>
            <w:tcBorders>
              <w:top w:val="nil"/>
              <w:left w:val="single" w:sz="8" w:space="0" w:color="auto"/>
              <w:bottom w:val="single" w:sz="4" w:space="0" w:color="auto"/>
              <w:right w:val="single" w:sz="4" w:space="0" w:color="auto"/>
            </w:tcBorders>
            <w:shd w:val="clear" w:color="auto" w:fill="auto"/>
          </w:tcPr>
          <w:p w14:paraId="2A691299" w14:textId="0A5AE302" w:rsidR="00407F66" w:rsidRPr="00B64018" w:rsidRDefault="00F372AD" w:rsidP="00407F6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3.</w:t>
            </w:r>
            <w:r w:rsidR="00FF747C">
              <w:rPr>
                <w:rFonts w:ascii="Calibri" w:eastAsia="Times New Roman" w:hAnsi="Calibri" w:cs="Calibri"/>
                <w:color w:val="000000"/>
                <w:sz w:val="22"/>
                <w:szCs w:val="22"/>
                <w:lang w:eastAsia="nl-NL"/>
              </w:rPr>
              <w:t>4.2</w:t>
            </w:r>
          </w:p>
        </w:tc>
        <w:tc>
          <w:tcPr>
            <w:tcW w:w="4169" w:type="dxa"/>
            <w:tcBorders>
              <w:top w:val="nil"/>
              <w:left w:val="nil"/>
              <w:bottom w:val="single" w:sz="4" w:space="0" w:color="auto"/>
              <w:right w:val="single" w:sz="4" w:space="0" w:color="auto"/>
            </w:tcBorders>
            <w:shd w:val="clear" w:color="auto" w:fill="auto"/>
          </w:tcPr>
          <w:p w14:paraId="1BFB4B48" w14:textId="302C12AF" w:rsidR="00407F66" w:rsidRPr="00B64018" w:rsidRDefault="00F372AD" w:rsidP="00407F6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Toerekeningen</w:t>
            </w:r>
          </w:p>
        </w:tc>
        <w:tc>
          <w:tcPr>
            <w:tcW w:w="3579" w:type="dxa"/>
            <w:tcBorders>
              <w:top w:val="nil"/>
              <w:left w:val="nil"/>
              <w:bottom w:val="single" w:sz="4" w:space="0" w:color="auto"/>
              <w:right w:val="single" w:sz="4" w:space="0" w:color="auto"/>
            </w:tcBorders>
            <w:shd w:val="clear" w:color="auto" w:fill="auto"/>
          </w:tcPr>
          <w:p w14:paraId="1283B884" w14:textId="2EDB2668" w:rsidR="00407F66" w:rsidRPr="00B64018" w:rsidRDefault="00411B50" w:rsidP="00407F6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Analyse i</w:t>
            </w:r>
            <w:r w:rsidR="00F372AD">
              <w:rPr>
                <w:rFonts w:ascii="Calibri" w:eastAsia="Times New Roman" w:hAnsi="Calibri" w:cs="Calibri"/>
                <w:color w:val="000000"/>
                <w:sz w:val="22"/>
                <w:szCs w:val="22"/>
                <w:lang w:eastAsia="nl-NL"/>
              </w:rPr>
              <w:t>nvulling toerekening onderhoud</w:t>
            </w:r>
          </w:p>
        </w:tc>
        <w:tc>
          <w:tcPr>
            <w:tcW w:w="739" w:type="dxa"/>
            <w:tcBorders>
              <w:top w:val="nil"/>
              <w:left w:val="nil"/>
              <w:bottom w:val="single" w:sz="4" w:space="0" w:color="auto"/>
              <w:right w:val="single" w:sz="4" w:space="0" w:color="auto"/>
            </w:tcBorders>
            <w:shd w:val="clear" w:color="auto" w:fill="auto"/>
          </w:tcPr>
          <w:p w14:paraId="624A4BA2" w14:textId="13609B60" w:rsidR="00407F66" w:rsidRPr="00B64018" w:rsidRDefault="002F50ED" w:rsidP="00407F6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2</w:t>
            </w:r>
          </w:p>
        </w:tc>
        <w:tc>
          <w:tcPr>
            <w:tcW w:w="4870" w:type="dxa"/>
            <w:tcBorders>
              <w:top w:val="nil"/>
              <w:left w:val="nil"/>
              <w:bottom w:val="single" w:sz="4" w:space="0" w:color="auto"/>
              <w:right w:val="single" w:sz="8" w:space="0" w:color="auto"/>
            </w:tcBorders>
            <w:shd w:val="clear" w:color="auto" w:fill="auto"/>
          </w:tcPr>
          <w:p w14:paraId="2F162D3F" w14:textId="77777777" w:rsidR="00277DC6" w:rsidRDefault="00277DC6" w:rsidP="00277DC6">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De toerekening van onderhoud wordt onwaarschijnlijk geacht. </w:t>
            </w:r>
          </w:p>
          <w:p w14:paraId="57448215" w14:textId="34818DE0" w:rsidR="00407F66" w:rsidRPr="00277DC6" w:rsidRDefault="00277DC6" w:rsidP="00277DC6">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Er is 100% of meer van de totale onderhoudskosten opgenomen</w:t>
            </w:r>
            <w:r w:rsidR="00110EDD">
              <w:rPr>
                <w:rFonts w:ascii="Calibri" w:eastAsia="Times New Roman" w:hAnsi="Calibri" w:cs="Calibri"/>
                <w:color w:val="000000"/>
                <w:sz w:val="22"/>
                <w:szCs w:val="22"/>
                <w:lang w:eastAsia="nl-NL"/>
              </w:rPr>
              <w:t xml:space="preserve"> als toerekening</w:t>
            </w:r>
            <w:r>
              <w:rPr>
                <w:rFonts w:ascii="Calibri" w:eastAsia="Times New Roman" w:hAnsi="Calibri" w:cs="Calibri"/>
                <w:color w:val="000000"/>
                <w:sz w:val="22"/>
                <w:szCs w:val="22"/>
                <w:lang w:eastAsia="nl-NL"/>
              </w:rPr>
              <w:t>.</w:t>
            </w:r>
          </w:p>
        </w:tc>
      </w:tr>
      <w:tr w:rsidR="001B5B19" w:rsidRPr="00B64018" w14:paraId="02DB2670" w14:textId="77777777" w:rsidTr="006F4317">
        <w:trPr>
          <w:trHeight w:val="640"/>
        </w:trPr>
        <w:tc>
          <w:tcPr>
            <w:tcW w:w="1092" w:type="dxa"/>
            <w:tcBorders>
              <w:top w:val="single" w:sz="4" w:space="0" w:color="auto"/>
              <w:left w:val="single" w:sz="8" w:space="0" w:color="auto"/>
              <w:bottom w:val="single" w:sz="4" w:space="0" w:color="auto"/>
              <w:right w:val="single" w:sz="4" w:space="0" w:color="auto"/>
            </w:tcBorders>
            <w:shd w:val="clear" w:color="auto" w:fill="auto"/>
          </w:tcPr>
          <w:p w14:paraId="044470BF" w14:textId="3F09DA92" w:rsidR="00B4521F" w:rsidRDefault="00B4521F"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2.7</w:t>
            </w:r>
          </w:p>
        </w:tc>
        <w:tc>
          <w:tcPr>
            <w:tcW w:w="4169" w:type="dxa"/>
            <w:tcBorders>
              <w:top w:val="single" w:sz="4" w:space="0" w:color="auto"/>
              <w:left w:val="nil"/>
              <w:bottom w:val="single" w:sz="4" w:space="0" w:color="auto"/>
              <w:right w:val="single" w:sz="4" w:space="0" w:color="auto"/>
            </w:tcBorders>
            <w:shd w:val="clear" w:color="auto" w:fill="auto"/>
          </w:tcPr>
          <w:p w14:paraId="50A6021D" w14:textId="0755D997" w:rsidR="00B4521F" w:rsidRDefault="00B4521F"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Autonome mutaties</w:t>
            </w:r>
          </w:p>
        </w:tc>
        <w:tc>
          <w:tcPr>
            <w:tcW w:w="3579" w:type="dxa"/>
            <w:tcBorders>
              <w:top w:val="single" w:sz="4" w:space="0" w:color="auto"/>
              <w:left w:val="nil"/>
              <w:bottom w:val="single" w:sz="4" w:space="0" w:color="auto"/>
              <w:right w:val="single" w:sz="4" w:space="0" w:color="auto"/>
            </w:tcBorders>
            <w:shd w:val="clear" w:color="auto" w:fill="auto"/>
          </w:tcPr>
          <w:p w14:paraId="0BABEB41" w14:textId="3E93841B" w:rsidR="00B4521F" w:rsidRDefault="00B4521F"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Analyse autonome mutaties</w:t>
            </w:r>
          </w:p>
        </w:tc>
        <w:tc>
          <w:tcPr>
            <w:tcW w:w="739" w:type="dxa"/>
            <w:tcBorders>
              <w:top w:val="single" w:sz="4" w:space="0" w:color="auto"/>
              <w:left w:val="nil"/>
              <w:bottom w:val="single" w:sz="4" w:space="0" w:color="auto"/>
              <w:right w:val="single" w:sz="4" w:space="0" w:color="auto"/>
            </w:tcBorders>
            <w:shd w:val="clear" w:color="auto" w:fill="auto"/>
          </w:tcPr>
          <w:p w14:paraId="5D6CD27C" w14:textId="02E231CC" w:rsidR="00B4521F" w:rsidRDefault="00DF015A"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4</w:t>
            </w:r>
          </w:p>
        </w:tc>
        <w:tc>
          <w:tcPr>
            <w:tcW w:w="4870" w:type="dxa"/>
            <w:tcBorders>
              <w:top w:val="single" w:sz="4" w:space="0" w:color="auto"/>
              <w:left w:val="nil"/>
              <w:bottom w:val="single" w:sz="4" w:space="0" w:color="auto"/>
              <w:right w:val="single" w:sz="8" w:space="0" w:color="auto"/>
            </w:tcBorders>
            <w:shd w:val="clear" w:color="auto" w:fill="auto"/>
          </w:tcPr>
          <w:p w14:paraId="32D3CFE4" w14:textId="5FAC9F38" w:rsidR="00B4521F" w:rsidRPr="00B4521F" w:rsidRDefault="00B4521F" w:rsidP="00B4521F">
            <w:pPr>
              <w:pStyle w:val="Lijstalinea"/>
              <w:numPr>
                <w:ilvl w:val="0"/>
                <w:numId w:val="13"/>
              </w:numPr>
              <w:rPr>
                <w:rFonts w:ascii="Calibri" w:eastAsia="Times New Roman" w:hAnsi="Calibri" w:cs="Calibri"/>
                <w:color w:val="000000"/>
                <w:sz w:val="22"/>
                <w:szCs w:val="22"/>
                <w:lang w:eastAsia="nl-NL"/>
              </w:rPr>
            </w:pPr>
            <w:r w:rsidRPr="00B4521F">
              <w:rPr>
                <w:rFonts w:ascii="Calibri" w:eastAsia="Times New Roman" w:hAnsi="Calibri" w:cs="Calibri"/>
                <w:color w:val="000000"/>
                <w:sz w:val="22"/>
                <w:szCs w:val="22"/>
                <w:lang w:eastAsia="nl-NL"/>
              </w:rPr>
              <w:t>De autonome mutaties worden onwaarschijnlijk geacht.</w:t>
            </w:r>
          </w:p>
        </w:tc>
      </w:tr>
      <w:tr w:rsidR="001B5B19" w:rsidRPr="00B64018" w14:paraId="6616F97B" w14:textId="77777777" w:rsidTr="006F4317">
        <w:trPr>
          <w:trHeight w:val="640"/>
        </w:trPr>
        <w:tc>
          <w:tcPr>
            <w:tcW w:w="1092" w:type="dxa"/>
            <w:tcBorders>
              <w:top w:val="single" w:sz="4" w:space="0" w:color="auto"/>
              <w:left w:val="single" w:sz="8" w:space="0" w:color="auto"/>
              <w:bottom w:val="single" w:sz="4" w:space="0" w:color="auto"/>
              <w:right w:val="single" w:sz="4" w:space="0" w:color="auto"/>
            </w:tcBorders>
            <w:shd w:val="clear" w:color="auto" w:fill="auto"/>
          </w:tcPr>
          <w:p w14:paraId="69EFA624" w14:textId="2098EDA6" w:rsidR="00B4521F" w:rsidRDefault="00B4521F"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2.7</w:t>
            </w:r>
          </w:p>
        </w:tc>
        <w:tc>
          <w:tcPr>
            <w:tcW w:w="4169" w:type="dxa"/>
            <w:tcBorders>
              <w:top w:val="single" w:sz="4" w:space="0" w:color="auto"/>
              <w:left w:val="nil"/>
              <w:bottom w:val="single" w:sz="4" w:space="0" w:color="auto"/>
              <w:right w:val="single" w:sz="4" w:space="0" w:color="auto"/>
            </w:tcBorders>
            <w:shd w:val="clear" w:color="auto" w:fill="auto"/>
          </w:tcPr>
          <w:p w14:paraId="29C5ACFD" w14:textId="56DCA437" w:rsidR="00B4521F" w:rsidRDefault="00DF015A"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Contracthuur/s</w:t>
            </w:r>
            <w:r w:rsidR="00B4521F">
              <w:rPr>
                <w:rFonts w:ascii="Calibri" w:eastAsia="Times New Roman" w:hAnsi="Calibri" w:cs="Calibri"/>
                <w:color w:val="000000"/>
                <w:sz w:val="22"/>
                <w:szCs w:val="22"/>
                <w:lang w:eastAsia="nl-NL"/>
              </w:rPr>
              <w:t>treefhuur/onderhoud/beheer</w:t>
            </w:r>
          </w:p>
        </w:tc>
        <w:tc>
          <w:tcPr>
            <w:tcW w:w="3579" w:type="dxa"/>
            <w:tcBorders>
              <w:top w:val="single" w:sz="4" w:space="0" w:color="auto"/>
              <w:left w:val="nil"/>
              <w:bottom w:val="single" w:sz="4" w:space="0" w:color="auto"/>
              <w:right w:val="single" w:sz="4" w:space="0" w:color="auto"/>
            </w:tcBorders>
            <w:shd w:val="clear" w:color="auto" w:fill="auto"/>
          </w:tcPr>
          <w:p w14:paraId="1F8A2DB2" w14:textId="7E52AFD1" w:rsidR="00B4521F" w:rsidRDefault="00B4521F"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Beoordeling van de gemiddelde contracthuur/streefhuur/onderhoud en beheer</w:t>
            </w:r>
          </w:p>
        </w:tc>
        <w:tc>
          <w:tcPr>
            <w:tcW w:w="739" w:type="dxa"/>
            <w:tcBorders>
              <w:top w:val="single" w:sz="4" w:space="0" w:color="auto"/>
              <w:left w:val="nil"/>
              <w:bottom w:val="single" w:sz="4" w:space="0" w:color="auto"/>
              <w:right w:val="single" w:sz="4" w:space="0" w:color="auto"/>
            </w:tcBorders>
            <w:shd w:val="clear" w:color="auto" w:fill="auto"/>
          </w:tcPr>
          <w:p w14:paraId="1307B998" w14:textId="23A85C55" w:rsidR="00B4521F" w:rsidRDefault="004F4182"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7</w:t>
            </w:r>
          </w:p>
        </w:tc>
        <w:tc>
          <w:tcPr>
            <w:tcW w:w="4870" w:type="dxa"/>
            <w:tcBorders>
              <w:top w:val="single" w:sz="4" w:space="0" w:color="auto"/>
              <w:left w:val="nil"/>
              <w:bottom w:val="single" w:sz="4" w:space="0" w:color="auto"/>
              <w:right w:val="single" w:sz="8" w:space="0" w:color="auto"/>
            </w:tcBorders>
            <w:shd w:val="clear" w:color="auto" w:fill="auto"/>
          </w:tcPr>
          <w:p w14:paraId="19D7C1DE" w14:textId="77777777" w:rsidR="00B4521F" w:rsidRDefault="00B4521F" w:rsidP="00B4521F">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Gegevens in de tabellen zijn niet altijd volledig ingevuld.</w:t>
            </w:r>
          </w:p>
          <w:p w14:paraId="2A67AAFA" w14:textId="05351641" w:rsidR="00B4521F" w:rsidRDefault="00B4521F" w:rsidP="00B4521F">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Uitkomsten van de gemiddelde per eenheid worden onwaarschijnlijk geacht.</w:t>
            </w:r>
          </w:p>
        </w:tc>
      </w:tr>
      <w:tr w:rsidR="000E3A91" w:rsidRPr="00B64018" w14:paraId="72BBC62C" w14:textId="77777777" w:rsidTr="006F4317">
        <w:trPr>
          <w:trHeight w:val="640"/>
        </w:trPr>
        <w:tc>
          <w:tcPr>
            <w:tcW w:w="1092" w:type="dxa"/>
            <w:tcBorders>
              <w:top w:val="single" w:sz="4" w:space="0" w:color="auto"/>
              <w:left w:val="single" w:sz="8" w:space="0" w:color="auto"/>
              <w:bottom w:val="single" w:sz="4" w:space="0" w:color="auto"/>
              <w:right w:val="single" w:sz="4" w:space="0" w:color="auto"/>
            </w:tcBorders>
            <w:shd w:val="clear" w:color="auto" w:fill="auto"/>
          </w:tcPr>
          <w:p w14:paraId="35CDF6DA" w14:textId="5E5279B3"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3.3</w:t>
            </w:r>
          </w:p>
        </w:tc>
        <w:tc>
          <w:tcPr>
            <w:tcW w:w="4169" w:type="dxa"/>
            <w:tcBorders>
              <w:top w:val="single" w:sz="4" w:space="0" w:color="auto"/>
              <w:left w:val="nil"/>
              <w:bottom w:val="single" w:sz="4" w:space="0" w:color="auto"/>
              <w:right w:val="single" w:sz="4" w:space="0" w:color="auto"/>
            </w:tcBorders>
            <w:shd w:val="clear" w:color="auto" w:fill="auto"/>
          </w:tcPr>
          <w:p w14:paraId="3983E61B" w14:textId="169A0349"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Kasstroomoverzicht</w:t>
            </w:r>
          </w:p>
        </w:tc>
        <w:tc>
          <w:tcPr>
            <w:tcW w:w="3579" w:type="dxa"/>
            <w:tcBorders>
              <w:top w:val="single" w:sz="4" w:space="0" w:color="auto"/>
              <w:left w:val="nil"/>
              <w:bottom w:val="single" w:sz="4" w:space="0" w:color="auto"/>
              <w:right w:val="single" w:sz="4" w:space="0" w:color="auto"/>
            </w:tcBorders>
            <w:shd w:val="clear" w:color="auto" w:fill="auto"/>
          </w:tcPr>
          <w:p w14:paraId="141F7CA4" w14:textId="28F5AE15"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Aansluiting operationele en investeringsactiviteiten DAEB en niet-DAEB ten opzichte van TI</w:t>
            </w:r>
          </w:p>
        </w:tc>
        <w:tc>
          <w:tcPr>
            <w:tcW w:w="739" w:type="dxa"/>
            <w:tcBorders>
              <w:top w:val="single" w:sz="4" w:space="0" w:color="auto"/>
              <w:left w:val="nil"/>
              <w:bottom w:val="single" w:sz="4" w:space="0" w:color="auto"/>
              <w:right w:val="single" w:sz="4" w:space="0" w:color="auto"/>
            </w:tcBorders>
            <w:shd w:val="clear" w:color="auto" w:fill="auto"/>
          </w:tcPr>
          <w:p w14:paraId="27D43FEE" w14:textId="5352B25C" w:rsidR="000E3A91" w:rsidRDefault="006F4317"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12</w:t>
            </w:r>
          </w:p>
          <w:p w14:paraId="269160E5" w14:textId="77777777" w:rsidR="006F4317" w:rsidRDefault="006F4317" w:rsidP="00B4521F">
            <w:pPr>
              <w:rPr>
                <w:rFonts w:ascii="Calibri" w:eastAsia="Times New Roman" w:hAnsi="Calibri" w:cs="Calibri"/>
                <w:color w:val="000000"/>
                <w:sz w:val="22"/>
                <w:szCs w:val="22"/>
                <w:lang w:eastAsia="nl-NL"/>
              </w:rPr>
            </w:pPr>
          </w:p>
          <w:p w14:paraId="16FD6976" w14:textId="742418B1" w:rsidR="000E3A91" w:rsidRDefault="000E3A91" w:rsidP="00B4521F">
            <w:pPr>
              <w:rPr>
                <w:rFonts w:ascii="Calibri" w:eastAsia="Times New Roman" w:hAnsi="Calibri" w:cs="Calibri"/>
                <w:color w:val="000000"/>
                <w:sz w:val="22"/>
                <w:szCs w:val="22"/>
                <w:lang w:eastAsia="nl-NL"/>
              </w:rPr>
            </w:pPr>
          </w:p>
        </w:tc>
        <w:tc>
          <w:tcPr>
            <w:tcW w:w="4870" w:type="dxa"/>
            <w:tcBorders>
              <w:top w:val="single" w:sz="4" w:space="0" w:color="auto"/>
              <w:left w:val="nil"/>
              <w:bottom w:val="single" w:sz="4" w:space="0" w:color="auto"/>
              <w:right w:val="single" w:sz="8" w:space="0" w:color="auto"/>
            </w:tcBorders>
            <w:shd w:val="clear" w:color="auto" w:fill="auto"/>
          </w:tcPr>
          <w:p w14:paraId="12C38B18" w14:textId="241D78D3" w:rsidR="000E3A91" w:rsidRPr="003D7EB0" w:rsidRDefault="000E3A91" w:rsidP="00B4521F">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Er is sprake van afwijkingen bij een aansluiting van de operationele- en investeringsactiviteiten DAEB en niet-DAEB ten opzichte van de Toegelaten Instelling.</w:t>
            </w:r>
          </w:p>
        </w:tc>
      </w:tr>
      <w:tr w:rsidR="000E3A91" w:rsidRPr="00B64018" w14:paraId="2E6F0D26" w14:textId="77777777" w:rsidTr="006F4317">
        <w:trPr>
          <w:trHeight w:val="640"/>
        </w:trPr>
        <w:tc>
          <w:tcPr>
            <w:tcW w:w="1092" w:type="dxa"/>
            <w:tcBorders>
              <w:top w:val="single" w:sz="4" w:space="0" w:color="auto"/>
              <w:left w:val="single" w:sz="8" w:space="0" w:color="auto"/>
              <w:bottom w:val="single" w:sz="4" w:space="0" w:color="auto"/>
              <w:right w:val="single" w:sz="4" w:space="0" w:color="auto"/>
            </w:tcBorders>
            <w:shd w:val="clear" w:color="auto" w:fill="auto"/>
          </w:tcPr>
          <w:p w14:paraId="28AE7781" w14:textId="36E9D96E"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lastRenderedPageBreak/>
              <w:t>4.1</w:t>
            </w:r>
          </w:p>
        </w:tc>
        <w:tc>
          <w:tcPr>
            <w:tcW w:w="4169" w:type="dxa"/>
            <w:tcBorders>
              <w:top w:val="single" w:sz="4" w:space="0" w:color="auto"/>
              <w:left w:val="nil"/>
              <w:bottom w:val="single" w:sz="4" w:space="0" w:color="auto"/>
              <w:right w:val="single" w:sz="4" w:space="0" w:color="auto"/>
            </w:tcBorders>
            <w:shd w:val="clear" w:color="auto" w:fill="auto"/>
          </w:tcPr>
          <w:p w14:paraId="482B4A88" w14:textId="7AB1BB96"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Agio van de leningen</w:t>
            </w:r>
          </w:p>
        </w:tc>
        <w:tc>
          <w:tcPr>
            <w:tcW w:w="3579" w:type="dxa"/>
            <w:tcBorders>
              <w:top w:val="single" w:sz="4" w:space="0" w:color="auto"/>
              <w:left w:val="nil"/>
              <w:bottom w:val="single" w:sz="4" w:space="0" w:color="auto"/>
              <w:right w:val="single" w:sz="4" w:space="0" w:color="auto"/>
            </w:tcBorders>
            <w:shd w:val="clear" w:color="auto" w:fill="auto"/>
          </w:tcPr>
          <w:p w14:paraId="3FD725DD" w14:textId="4E2053A2"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Analyse Agio van de leningen</w:t>
            </w:r>
          </w:p>
        </w:tc>
        <w:tc>
          <w:tcPr>
            <w:tcW w:w="739" w:type="dxa"/>
            <w:tcBorders>
              <w:top w:val="single" w:sz="4" w:space="0" w:color="auto"/>
              <w:left w:val="nil"/>
              <w:bottom w:val="single" w:sz="4" w:space="0" w:color="auto"/>
              <w:right w:val="single" w:sz="4" w:space="0" w:color="auto"/>
            </w:tcBorders>
            <w:shd w:val="clear" w:color="auto" w:fill="auto"/>
          </w:tcPr>
          <w:p w14:paraId="3BD45CB0" w14:textId="49354A2A"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7</w:t>
            </w:r>
          </w:p>
        </w:tc>
        <w:tc>
          <w:tcPr>
            <w:tcW w:w="4870" w:type="dxa"/>
            <w:tcBorders>
              <w:top w:val="single" w:sz="4" w:space="0" w:color="auto"/>
              <w:left w:val="nil"/>
              <w:bottom w:val="single" w:sz="4" w:space="0" w:color="auto"/>
              <w:right w:val="single" w:sz="8" w:space="0" w:color="auto"/>
            </w:tcBorders>
            <w:shd w:val="clear" w:color="auto" w:fill="auto"/>
          </w:tcPr>
          <w:p w14:paraId="4FBA2A3D" w14:textId="77777777" w:rsidR="000E3A91" w:rsidRDefault="000E3A91" w:rsidP="00B4521F">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De bedragen omtrent het agio van de leningen worden onwaarschijnlijk geacht.</w:t>
            </w:r>
          </w:p>
          <w:p w14:paraId="33F340C0" w14:textId="77777777" w:rsidR="000E3A91" w:rsidRDefault="000E3A91" w:rsidP="00B4521F">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Agio op de leningen niet ingevuld, terwijl dit wel wordt verwacht bij de betreffende corporatie.</w:t>
            </w:r>
          </w:p>
          <w:p w14:paraId="5CF497C3" w14:textId="1607D062" w:rsidR="000E3A91" w:rsidRDefault="000E3A91" w:rsidP="00B4521F">
            <w:pPr>
              <w:pStyle w:val="Lijstalinea"/>
              <w:numPr>
                <w:ilvl w:val="0"/>
                <w:numId w:val="19"/>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Agio op de leningen wel ingevuld, terwijl dit niet wordt verwacht bij de betreffende corporatie.</w:t>
            </w:r>
          </w:p>
        </w:tc>
      </w:tr>
      <w:tr w:rsidR="000E3A91" w:rsidRPr="00B64018" w14:paraId="6A832F4F" w14:textId="77777777" w:rsidTr="006F4317">
        <w:trPr>
          <w:trHeight w:val="640"/>
        </w:trPr>
        <w:tc>
          <w:tcPr>
            <w:tcW w:w="1092" w:type="dxa"/>
            <w:tcBorders>
              <w:top w:val="single" w:sz="4" w:space="0" w:color="auto"/>
              <w:left w:val="single" w:sz="8" w:space="0" w:color="auto"/>
              <w:bottom w:val="single" w:sz="4" w:space="0" w:color="auto"/>
              <w:right w:val="single" w:sz="4" w:space="0" w:color="auto"/>
            </w:tcBorders>
            <w:shd w:val="clear" w:color="auto" w:fill="auto"/>
          </w:tcPr>
          <w:p w14:paraId="75584790" w14:textId="44E89DA1"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Ratio’s</w:t>
            </w:r>
          </w:p>
        </w:tc>
        <w:tc>
          <w:tcPr>
            <w:tcW w:w="4169" w:type="dxa"/>
            <w:tcBorders>
              <w:top w:val="single" w:sz="4" w:space="0" w:color="auto"/>
              <w:left w:val="nil"/>
              <w:bottom w:val="single" w:sz="4" w:space="0" w:color="auto"/>
              <w:right w:val="single" w:sz="4" w:space="0" w:color="auto"/>
            </w:tcBorders>
            <w:shd w:val="clear" w:color="auto" w:fill="auto"/>
          </w:tcPr>
          <w:p w14:paraId="56BE5A92" w14:textId="6C8CD211"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Ratio’s</w:t>
            </w:r>
          </w:p>
        </w:tc>
        <w:tc>
          <w:tcPr>
            <w:tcW w:w="3579" w:type="dxa"/>
            <w:tcBorders>
              <w:top w:val="single" w:sz="4" w:space="0" w:color="auto"/>
              <w:left w:val="nil"/>
              <w:bottom w:val="single" w:sz="4" w:space="0" w:color="auto"/>
              <w:right w:val="single" w:sz="4" w:space="0" w:color="auto"/>
            </w:tcBorders>
            <w:shd w:val="clear" w:color="auto" w:fill="auto"/>
          </w:tcPr>
          <w:p w14:paraId="5FA5653C" w14:textId="1C412EB7" w:rsidR="000E3A91" w:rsidRDefault="000E3A91" w:rsidP="00B4521F">
            <w:pPr>
              <w:rPr>
                <w:rFonts w:ascii="Calibri" w:eastAsia="Times New Roman" w:hAnsi="Calibri" w:cs="Calibri"/>
                <w:color w:val="000000"/>
                <w:sz w:val="22"/>
                <w:szCs w:val="22"/>
                <w:lang w:eastAsia="nl-NL"/>
              </w:rPr>
            </w:pPr>
            <w:r w:rsidRPr="00E04A05">
              <w:rPr>
                <w:rFonts w:ascii="Calibri" w:eastAsia="Times New Roman" w:hAnsi="Calibri" w:cs="Calibri"/>
                <w:color w:val="000000"/>
                <w:sz w:val="22"/>
                <w:szCs w:val="22"/>
                <w:lang w:eastAsia="nl-NL"/>
              </w:rPr>
              <w:t>Analyse</w:t>
            </w:r>
            <w:r>
              <w:rPr>
                <w:rFonts w:ascii="Calibri" w:eastAsia="Times New Roman" w:hAnsi="Calibri" w:cs="Calibri"/>
                <w:color w:val="000000"/>
                <w:sz w:val="22"/>
                <w:szCs w:val="22"/>
                <w:lang w:eastAsia="nl-NL"/>
              </w:rPr>
              <w:t xml:space="preserve"> op de</w:t>
            </w:r>
            <w:r w:rsidRPr="00E04A05">
              <w:rPr>
                <w:rFonts w:ascii="Calibri" w:eastAsia="Times New Roman" w:hAnsi="Calibri" w:cs="Calibri"/>
                <w:color w:val="000000"/>
                <w:sz w:val="22"/>
                <w:szCs w:val="22"/>
                <w:lang w:eastAsia="nl-NL"/>
              </w:rPr>
              <w:t xml:space="preserve"> ratio's</w:t>
            </w:r>
          </w:p>
        </w:tc>
        <w:tc>
          <w:tcPr>
            <w:tcW w:w="739" w:type="dxa"/>
            <w:tcBorders>
              <w:top w:val="single" w:sz="4" w:space="0" w:color="auto"/>
              <w:left w:val="nil"/>
              <w:bottom w:val="single" w:sz="4" w:space="0" w:color="auto"/>
              <w:right w:val="single" w:sz="4" w:space="0" w:color="auto"/>
            </w:tcBorders>
            <w:shd w:val="clear" w:color="auto" w:fill="auto"/>
          </w:tcPr>
          <w:p w14:paraId="67299299" w14:textId="0CEAF54F" w:rsidR="000E3A91" w:rsidRDefault="004F4182"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6</w:t>
            </w:r>
          </w:p>
        </w:tc>
        <w:tc>
          <w:tcPr>
            <w:tcW w:w="4870" w:type="dxa"/>
            <w:tcBorders>
              <w:top w:val="single" w:sz="4" w:space="0" w:color="auto"/>
              <w:left w:val="nil"/>
              <w:bottom w:val="single" w:sz="4" w:space="0" w:color="auto"/>
              <w:right w:val="single" w:sz="8" w:space="0" w:color="auto"/>
            </w:tcBorders>
            <w:shd w:val="clear" w:color="auto" w:fill="auto"/>
          </w:tcPr>
          <w:p w14:paraId="0ABCBEFF" w14:textId="77777777" w:rsidR="000E3A91" w:rsidRDefault="000E3A91" w:rsidP="00B4521F">
            <w:pPr>
              <w:pStyle w:val="Lijstalinea"/>
              <w:numPr>
                <w:ilvl w:val="0"/>
                <w:numId w:val="19"/>
              </w:numPr>
              <w:rPr>
                <w:rFonts w:ascii="Calibri" w:eastAsia="Times New Roman" w:hAnsi="Calibri" w:cs="Calibri"/>
                <w:color w:val="000000"/>
                <w:sz w:val="22"/>
                <w:szCs w:val="22"/>
                <w:lang w:eastAsia="nl-NL"/>
              </w:rPr>
            </w:pPr>
            <w:r w:rsidRPr="00E04A05">
              <w:rPr>
                <w:rFonts w:ascii="Calibri" w:eastAsia="Times New Roman" w:hAnsi="Calibri" w:cs="Calibri"/>
                <w:color w:val="000000"/>
                <w:sz w:val="22"/>
                <w:szCs w:val="22"/>
                <w:lang w:eastAsia="nl-NL"/>
              </w:rPr>
              <w:t>Overschrijding van ratio's</w:t>
            </w:r>
          </w:p>
          <w:p w14:paraId="40E9F5B0" w14:textId="05F7E819" w:rsidR="000E3A91" w:rsidRDefault="000E3A91" w:rsidP="00B4521F">
            <w:pPr>
              <w:pStyle w:val="Lijstalinea"/>
              <w:numPr>
                <w:ilvl w:val="0"/>
                <w:numId w:val="19"/>
              </w:numPr>
              <w:rPr>
                <w:rFonts w:ascii="Calibri" w:eastAsia="Times New Roman" w:hAnsi="Calibri" w:cs="Calibri"/>
                <w:color w:val="000000"/>
                <w:sz w:val="22"/>
                <w:szCs w:val="22"/>
                <w:lang w:eastAsia="nl-NL"/>
              </w:rPr>
            </w:pPr>
            <w:r w:rsidRPr="00E04A05">
              <w:rPr>
                <w:rFonts w:ascii="Calibri" w:eastAsia="Times New Roman" w:hAnsi="Calibri" w:cs="Calibri"/>
                <w:color w:val="000000"/>
                <w:sz w:val="22"/>
                <w:szCs w:val="22"/>
                <w:lang w:eastAsia="nl-NL"/>
              </w:rPr>
              <w:t>Door onjuiste invulling van dPi zijn er ratio's die onwaarschijnlijk worden geacht.</w:t>
            </w:r>
          </w:p>
        </w:tc>
      </w:tr>
      <w:tr w:rsidR="000E3A91" w14:paraId="03021344" w14:textId="77777777" w:rsidTr="006F4317">
        <w:trPr>
          <w:trHeight w:val="640"/>
        </w:trPr>
        <w:tc>
          <w:tcPr>
            <w:tcW w:w="1092" w:type="dxa"/>
            <w:tcBorders>
              <w:top w:val="single" w:sz="4" w:space="0" w:color="auto"/>
              <w:left w:val="single" w:sz="8" w:space="0" w:color="auto"/>
              <w:bottom w:val="single" w:sz="4" w:space="0" w:color="auto"/>
              <w:right w:val="single" w:sz="4" w:space="0" w:color="auto"/>
            </w:tcBorders>
            <w:shd w:val="clear" w:color="auto" w:fill="auto"/>
          </w:tcPr>
          <w:p w14:paraId="703362F8" w14:textId="30FA3A58"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Bijlagen</w:t>
            </w:r>
          </w:p>
        </w:tc>
        <w:tc>
          <w:tcPr>
            <w:tcW w:w="4169" w:type="dxa"/>
            <w:tcBorders>
              <w:top w:val="single" w:sz="4" w:space="0" w:color="auto"/>
              <w:left w:val="nil"/>
              <w:bottom w:val="single" w:sz="4" w:space="0" w:color="auto"/>
              <w:right w:val="single" w:sz="4" w:space="0" w:color="auto"/>
            </w:tcBorders>
            <w:shd w:val="clear" w:color="auto" w:fill="auto"/>
          </w:tcPr>
          <w:p w14:paraId="7E68A832" w14:textId="4640FCE4"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Bijlagen</w:t>
            </w:r>
          </w:p>
        </w:tc>
        <w:tc>
          <w:tcPr>
            <w:tcW w:w="3579" w:type="dxa"/>
            <w:tcBorders>
              <w:top w:val="single" w:sz="4" w:space="0" w:color="auto"/>
              <w:left w:val="nil"/>
              <w:bottom w:val="single" w:sz="4" w:space="0" w:color="auto"/>
              <w:right w:val="single" w:sz="4" w:space="0" w:color="auto"/>
            </w:tcBorders>
            <w:shd w:val="clear" w:color="auto" w:fill="auto"/>
          </w:tcPr>
          <w:p w14:paraId="100979C8" w14:textId="1D85BA8E" w:rsidR="000E3A91" w:rsidRDefault="000E3A91"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Controle aangeleverde bijlagen</w:t>
            </w:r>
          </w:p>
        </w:tc>
        <w:tc>
          <w:tcPr>
            <w:tcW w:w="739" w:type="dxa"/>
            <w:tcBorders>
              <w:top w:val="single" w:sz="4" w:space="0" w:color="auto"/>
              <w:left w:val="nil"/>
              <w:bottom w:val="single" w:sz="4" w:space="0" w:color="auto"/>
              <w:right w:val="single" w:sz="4" w:space="0" w:color="auto"/>
            </w:tcBorders>
            <w:shd w:val="clear" w:color="auto" w:fill="auto"/>
          </w:tcPr>
          <w:p w14:paraId="5691AB9F" w14:textId="70336444" w:rsidR="000E3A91" w:rsidRDefault="006F4317" w:rsidP="00B4521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8</w:t>
            </w:r>
          </w:p>
        </w:tc>
        <w:tc>
          <w:tcPr>
            <w:tcW w:w="4870" w:type="dxa"/>
            <w:tcBorders>
              <w:top w:val="single" w:sz="4" w:space="0" w:color="auto"/>
              <w:left w:val="nil"/>
              <w:bottom w:val="single" w:sz="4" w:space="0" w:color="auto"/>
              <w:right w:val="single" w:sz="8" w:space="0" w:color="auto"/>
            </w:tcBorders>
            <w:shd w:val="clear" w:color="auto" w:fill="auto"/>
          </w:tcPr>
          <w:p w14:paraId="2DE053F8" w14:textId="77777777" w:rsidR="000E3A91" w:rsidRDefault="000E3A91" w:rsidP="00B4521F">
            <w:pPr>
              <w:pStyle w:val="Lijstalinea"/>
              <w:numPr>
                <w:ilvl w:val="0"/>
                <w:numId w:val="19"/>
              </w:numPr>
              <w:rPr>
                <w:rFonts w:ascii="Calibri" w:eastAsia="Times New Roman" w:hAnsi="Calibri" w:cs="Calibri"/>
                <w:color w:val="000000"/>
                <w:sz w:val="22"/>
                <w:szCs w:val="22"/>
                <w:lang w:eastAsia="nl-NL"/>
              </w:rPr>
            </w:pPr>
            <w:r w:rsidRPr="00E04A05">
              <w:rPr>
                <w:rFonts w:ascii="Calibri" w:eastAsia="Times New Roman" w:hAnsi="Calibri" w:cs="Calibri"/>
                <w:color w:val="000000"/>
                <w:sz w:val="22"/>
                <w:szCs w:val="22"/>
                <w:lang w:eastAsia="nl-NL"/>
              </w:rPr>
              <w:t>Bestuursverklaring is niet volledig ingevuld of ondertekend</w:t>
            </w:r>
            <w:r>
              <w:rPr>
                <w:rFonts w:ascii="Calibri" w:eastAsia="Times New Roman" w:hAnsi="Calibri" w:cs="Calibri"/>
                <w:color w:val="000000"/>
                <w:sz w:val="22"/>
                <w:szCs w:val="22"/>
                <w:lang w:eastAsia="nl-NL"/>
              </w:rPr>
              <w:t>.</w:t>
            </w:r>
          </w:p>
          <w:p w14:paraId="2D71D4EB" w14:textId="6433DBCF" w:rsidR="000E3A91" w:rsidRPr="00CF5234" w:rsidRDefault="000E3A91" w:rsidP="00CF5234">
            <w:pPr>
              <w:pStyle w:val="Lijstalinea"/>
              <w:numPr>
                <w:ilvl w:val="0"/>
                <w:numId w:val="19"/>
              </w:numPr>
              <w:rPr>
                <w:rFonts w:ascii="Calibri" w:eastAsia="Times New Roman" w:hAnsi="Calibri" w:cs="Calibri"/>
                <w:color w:val="000000"/>
                <w:sz w:val="22"/>
                <w:szCs w:val="22"/>
                <w:lang w:eastAsia="nl-NL"/>
              </w:rPr>
            </w:pPr>
            <w:r w:rsidRPr="00E04A05">
              <w:rPr>
                <w:rFonts w:ascii="Calibri" w:eastAsia="Times New Roman" w:hAnsi="Calibri" w:cs="Calibri"/>
                <w:color w:val="000000"/>
                <w:sz w:val="22"/>
                <w:szCs w:val="22"/>
                <w:lang w:eastAsia="nl-NL"/>
              </w:rPr>
              <w:t>Meerjarenbegroting is niet volledig</w:t>
            </w:r>
          </w:p>
        </w:tc>
      </w:tr>
    </w:tbl>
    <w:p w14:paraId="677837A9" w14:textId="77777777" w:rsidR="00B46047" w:rsidRPr="00B46047" w:rsidRDefault="00B46047" w:rsidP="00B46047">
      <w:pPr>
        <w:rPr>
          <w:rFonts w:cstheme="minorHAnsi"/>
          <w:sz w:val="22"/>
          <w:szCs w:val="22"/>
        </w:rPr>
      </w:pPr>
    </w:p>
    <w:p w14:paraId="09FC2F21" w14:textId="77777777" w:rsidR="00B46047" w:rsidRPr="00B46047" w:rsidRDefault="00B46047" w:rsidP="00B46047">
      <w:pPr>
        <w:rPr>
          <w:rFonts w:cstheme="minorHAnsi"/>
          <w:sz w:val="22"/>
          <w:szCs w:val="22"/>
        </w:rPr>
      </w:pPr>
    </w:p>
    <w:p w14:paraId="0CA582B2" w14:textId="6808AB09" w:rsidR="00B46047" w:rsidRPr="00935A16" w:rsidRDefault="00B46047" w:rsidP="00B46047">
      <w:pPr>
        <w:rPr>
          <w:rFonts w:eastAsia="Times New Roman" w:cstheme="minorHAnsi"/>
          <w:sz w:val="22"/>
          <w:szCs w:val="22"/>
          <w:lang w:eastAsia="nl-NL"/>
        </w:rPr>
      </w:pPr>
    </w:p>
    <w:sectPr w:rsidR="00B46047" w:rsidRPr="00935A16" w:rsidSect="00B46047">
      <w:head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E0F93" w14:textId="77777777" w:rsidR="00972918" w:rsidRDefault="00972918" w:rsidP="00B46047">
      <w:r>
        <w:separator/>
      </w:r>
    </w:p>
  </w:endnote>
  <w:endnote w:type="continuationSeparator" w:id="0">
    <w:p w14:paraId="2BE8981C" w14:textId="77777777" w:rsidR="00972918" w:rsidRDefault="00972918" w:rsidP="00B4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1B33" w14:textId="77777777" w:rsidR="00972918" w:rsidRDefault="00972918" w:rsidP="00B46047">
      <w:r>
        <w:separator/>
      </w:r>
    </w:p>
  </w:footnote>
  <w:footnote w:type="continuationSeparator" w:id="0">
    <w:p w14:paraId="687EC8E9" w14:textId="77777777" w:rsidR="00972918" w:rsidRDefault="00972918" w:rsidP="00B4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4706" w14:textId="77777777" w:rsidR="00B46047" w:rsidRPr="00B46047" w:rsidRDefault="00B46047" w:rsidP="00B46047">
    <w:pPr>
      <w:pStyle w:val="Koptekst"/>
      <w:rPr>
        <w:b/>
        <w:color w:val="009EB0"/>
        <w:sz w:val="32"/>
        <w:szCs w:val="32"/>
      </w:rPr>
    </w:pPr>
    <w:r w:rsidRPr="00B46047">
      <w:rPr>
        <w:b/>
        <w:noProof/>
        <w:color w:val="009EB0"/>
      </w:rPr>
      <mc:AlternateContent>
        <mc:Choice Requires="wps">
          <w:drawing>
            <wp:anchor distT="0" distB="0" distL="114300" distR="114300" simplePos="0" relativeHeight="251660288" behindDoc="0" locked="0" layoutInCell="1" allowOverlap="1" wp14:anchorId="6117B987" wp14:editId="66356B99">
              <wp:simplePos x="0" y="0"/>
              <wp:positionH relativeFrom="column">
                <wp:posOffset>-254635</wp:posOffset>
              </wp:positionH>
              <wp:positionV relativeFrom="margin">
                <wp:posOffset>27604</wp:posOffset>
              </wp:positionV>
              <wp:extent cx="119380" cy="119380"/>
              <wp:effectExtent l="0" t="0" r="0" b="0"/>
              <wp:wrapNone/>
              <wp:docPr id="6" name="Diamond 6"/>
              <wp:cNvGraphicFramePr/>
              <a:graphic xmlns:a="http://schemas.openxmlformats.org/drawingml/2006/main">
                <a:graphicData uri="http://schemas.microsoft.com/office/word/2010/wordprocessingShape">
                  <wps:wsp>
                    <wps:cNvSpPr/>
                    <wps:spPr>
                      <a:xfrm>
                        <a:off x="0" y="0"/>
                        <a:ext cx="119380" cy="119380"/>
                      </a:xfrm>
                      <a:prstGeom prst="diamond">
                        <a:avLst/>
                      </a:prstGeom>
                      <a:solidFill>
                        <a:srgbClr val="C0504D"/>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28B1376E" id="_x0000_t4" coordsize="21600,21600" o:spt="4" path="m10800,l,10800,10800,21600,21600,10800xe">
              <v:stroke joinstyle="miter"/>
              <v:path gradientshapeok="t" o:connecttype="rect" textboxrect="5400,5400,16200,16200"/>
            </v:shapetype>
            <v:shape id="Diamond 6" o:spid="_x0000_s1026" type="#_x0000_t4" style="position:absolute;margin-left:-20.05pt;margin-top:2.15pt;width:9.4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K60wEAABkEAAAOAAAAZHJzL2Uyb0RvYy54bWysU8Fu1DAQvSPxD5bvbJItrEq02R66KhcE&#10;FYUP8DrjjSXbY9lms/v3jJ2QFqhUqeLijD3z5s17drY3Z2vYCULU6DrerGrOwEnstTt2/Mf3u3fX&#10;nMUkXC8MOuj4BSK/2b19sx19C2sc0PQQGDVxsR19x4eUfFtVUQ5gRVyhB0dJhcGKRNtwrPogRupu&#10;TbWu6001Yuh9QAkx0ul+SvJd6a8UyPRVqQiJmY7TbKmsoayHvFa7rWiPQfhBy3kM8YoprNCOSJdW&#10;e5EE+xn0P62slgEjqrSSaCtUSksoGkhNU/+l5mEQHooWMif6xab4/9rKL6f7wHTf8Q1nTli6or0W&#10;Fl3PNtmc0ceWah78fZh3kcKs9KyCzV/SwM7F0MtiKJwTk3TYNB+vrsl2Sak5pi7VI9iHmD4BWpaD&#10;jvcTdXFSnD7HNFX/rsp0EY3u77QxZROOh1sT2EnQ9d7WH+r3+zw0EfxRZlwudphhU3o6gfJAZpqs&#10;dNJWonQxkFHGfQNFBmU1Za7yNGFhFVKCS81MW6ozTBHVArx6GTjXZ+g01QJevwxeEIUZXVrAVjsM&#10;zzUwy8hqqifXnujO4QH7S7n1kqD3V4yd/5X8wJ/uC/zxj979AgAA//8DAFBLAwQUAAYACAAAACEA&#10;dNhg2t4AAAANAQAADwAAAGRycy9kb3ducmV2LnhtbExPTU/DMAy9I/EfIiNxmbq03VShrumEYHDf&#10;xoVb2pi2WuNUSdaVf485wcWy9Z7fR7Vf7Chm9GFwpCBbpyCQWmcG6hR8nN+SJxAhajJ6dIQKvjHA&#10;vr6/q3Rp3I2OOJ9iJ1iEQqkV9DFOpZSh7dHqsHYTEmNfzlsd+fSdNF7fWNyOMk/TQlo9EDv0esKX&#10;HtvL6WoVvK/m7ugPZJpihcV0oQYPn16px4fldcfjeQci4hL/PuC3A+eHmoM17komiFFBsk0zpirY&#10;bkAwnuQZL42CfJOBrCv5v0X9AwAA//8DAFBLAQItABQABgAIAAAAIQC2gziS/gAAAOEBAAATAAAA&#10;AAAAAAAAAAAAAAAAAABbQ29udGVudF9UeXBlc10ueG1sUEsBAi0AFAAGAAgAAAAhADj9If/WAAAA&#10;lAEAAAsAAAAAAAAAAAAAAAAALwEAAF9yZWxzLy5yZWxzUEsBAi0AFAAGAAgAAAAhANCAIrrTAQAA&#10;GQQAAA4AAAAAAAAAAAAAAAAALgIAAGRycy9lMm9Eb2MueG1sUEsBAi0AFAAGAAgAAAAhAHTYYNre&#10;AAAADQEAAA8AAAAAAAAAAAAAAAAALQQAAGRycy9kb3ducmV2LnhtbFBLBQYAAAAABAAEAPMAAAA4&#10;BQAAAAA=&#10;" fillcolor="#c0504d" stroked="f" strokeweight=".5pt">
              <w10:wrap anchory="margin"/>
            </v:shape>
          </w:pict>
        </mc:Fallback>
      </mc:AlternateContent>
    </w:r>
    <w:r w:rsidRPr="00B46047">
      <w:rPr>
        <w:b/>
        <w:noProof/>
        <w:color w:val="009EB0"/>
      </w:rPr>
      <w:drawing>
        <wp:anchor distT="0" distB="0" distL="114300" distR="114300" simplePos="0" relativeHeight="251659264" behindDoc="0" locked="0" layoutInCell="1" allowOverlap="1" wp14:anchorId="2A6DBA94" wp14:editId="4E9B8C1E">
          <wp:simplePos x="0" y="0"/>
          <wp:positionH relativeFrom="page">
            <wp:posOffset>3375116</wp:posOffset>
          </wp:positionH>
          <wp:positionV relativeFrom="page">
            <wp:posOffset>248285</wp:posOffset>
          </wp:positionV>
          <wp:extent cx="1386000" cy="1036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1386000" cy="103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color w:val="009EB0"/>
        <w:sz w:val="32"/>
        <w:szCs w:val="32"/>
      </w:rPr>
      <w:t>DA</w:t>
    </w:r>
    <w:r w:rsidRPr="00B46047">
      <w:rPr>
        <w:b/>
        <w:color w:val="009EB0"/>
        <w:sz w:val="32"/>
        <w:szCs w:val="32"/>
      </w:rPr>
      <w:t>TAKWALITEIT</w:t>
    </w:r>
  </w:p>
  <w:p w14:paraId="38E491D7" w14:textId="77777777" w:rsidR="00B46047" w:rsidRDefault="00B46047">
    <w:pPr>
      <w:pStyle w:val="Koptekst"/>
    </w:pPr>
  </w:p>
  <w:p w14:paraId="33BBA4B8" w14:textId="77777777" w:rsidR="00B46047" w:rsidRDefault="00B46047">
    <w:pPr>
      <w:pStyle w:val="Koptekst"/>
    </w:pPr>
  </w:p>
  <w:p w14:paraId="40AB08DA" w14:textId="77777777" w:rsidR="00B46047" w:rsidRDefault="00B46047">
    <w:pPr>
      <w:pStyle w:val="Koptekst"/>
    </w:pPr>
  </w:p>
  <w:p w14:paraId="7C7F5D25" w14:textId="77777777" w:rsidR="00B46047" w:rsidRDefault="00B460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3488"/>
    <w:multiLevelType w:val="hybridMultilevel"/>
    <w:tmpl w:val="026C2F2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1FB0552"/>
    <w:multiLevelType w:val="hybridMultilevel"/>
    <w:tmpl w:val="2FE26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870AC4"/>
    <w:multiLevelType w:val="hybridMultilevel"/>
    <w:tmpl w:val="C66EDC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49371B"/>
    <w:multiLevelType w:val="hybridMultilevel"/>
    <w:tmpl w:val="EFB8F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106670"/>
    <w:multiLevelType w:val="multilevel"/>
    <w:tmpl w:val="FDAA0416"/>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943742"/>
    <w:multiLevelType w:val="multilevel"/>
    <w:tmpl w:val="E97E1DCE"/>
    <w:lvl w:ilvl="0">
      <w:start w:val="1"/>
      <w:numFmt w:val="decimal"/>
      <w:lvlText w:val="%1"/>
      <w:lvlJc w:val="left"/>
      <w:pPr>
        <w:tabs>
          <w:tab w:val="num" w:pos="-1939"/>
        </w:tabs>
        <w:ind w:left="-1939" w:hanging="432"/>
      </w:pPr>
      <w:rPr>
        <w:rFonts w:hint="default"/>
        <w:sz w:val="28"/>
        <w:szCs w:val="28"/>
      </w:rPr>
    </w:lvl>
    <w:lvl w:ilvl="1">
      <w:start w:val="1"/>
      <w:numFmt w:val="decimal"/>
      <w:lvlText w:val="%1.%2"/>
      <w:lvlJc w:val="left"/>
      <w:pPr>
        <w:ind w:left="576" w:hanging="576"/>
      </w:pPr>
      <w:rPr>
        <w:rFonts w:hint="default"/>
        <w:b/>
        <w:i w:val="0"/>
        <w:sz w:val="24"/>
        <w:szCs w:val="24"/>
      </w:rPr>
    </w:lvl>
    <w:lvl w:ilvl="2">
      <w:start w:val="1"/>
      <w:numFmt w:val="decimal"/>
      <w:lvlText w:val="%1.%2.%3"/>
      <w:lvlJc w:val="left"/>
      <w:pPr>
        <w:tabs>
          <w:tab w:val="num" w:pos="-981"/>
        </w:tabs>
        <w:ind w:left="-981" w:hanging="720"/>
      </w:pPr>
      <w:rPr>
        <w:rFonts w:hint="default"/>
        <w:i w:val="0"/>
        <w:sz w:val="24"/>
        <w:szCs w:val="24"/>
      </w:rPr>
    </w:lvl>
    <w:lvl w:ilvl="3">
      <w:start w:val="1"/>
      <w:numFmt w:val="decimal"/>
      <w:lvlText w:val="%1.%2.%3.%4"/>
      <w:lvlJc w:val="left"/>
      <w:pPr>
        <w:tabs>
          <w:tab w:val="num" w:pos="-1687"/>
        </w:tabs>
        <w:ind w:left="-1687" w:hanging="864"/>
      </w:pPr>
      <w:rPr>
        <w:rFonts w:hint="default"/>
      </w:rPr>
    </w:lvl>
    <w:lvl w:ilvl="4">
      <w:start w:val="1"/>
      <w:numFmt w:val="decimal"/>
      <w:lvlText w:val="%1.%2.%3.%4.%5"/>
      <w:lvlJc w:val="left"/>
      <w:pPr>
        <w:tabs>
          <w:tab w:val="num" w:pos="-1543"/>
        </w:tabs>
        <w:ind w:left="-1543" w:hanging="1008"/>
      </w:pPr>
      <w:rPr>
        <w:rFonts w:hint="default"/>
      </w:rPr>
    </w:lvl>
    <w:lvl w:ilvl="5">
      <w:start w:val="1"/>
      <w:numFmt w:val="decimal"/>
      <w:lvlText w:val="%1.%2.%3.%4.%5.%6"/>
      <w:lvlJc w:val="left"/>
      <w:pPr>
        <w:tabs>
          <w:tab w:val="num" w:pos="-1399"/>
        </w:tabs>
        <w:ind w:left="-1399" w:hanging="1152"/>
      </w:pPr>
      <w:rPr>
        <w:rFonts w:hint="default"/>
      </w:rPr>
    </w:lvl>
    <w:lvl w:ilvl="6">
      <w:start w:val="1"/>
      <w:numFmt w:val="decimal"/>
      <w:lvlText w:val="%1.%2.%3.%4.%5.%6.%7"/>
      <w:lvlJc w:val="left"/>
      <w:pPr>
        <w:tabs>
          <w:tab w:val="num" w:pos="-1255"/>
        </w:tabs>
        <w:ind w:left="-1255" w:hanging="1296"/>
      </w:pPr>
      <w:rPr>
        <w:rFonts w:hint="default"/>
      </w:rPr>
    </w:lvl>
    <w:lvl w:ilvl="7">
      <w:start w:val="1"/>
      <w:numFmt w:val="decimal"/>
      <w:lvlText w:val="%1.%2.%3.%4.%5.%6.%7.%8"/>
      <w:lvlJc w:val="left"/>
      <w:pPr>
        <w:tabs>
          <w:tab w:val="num" w:pos="-1111"/>
        </w:tabs>
        <w:ind w:left="-1111" w:hanging="1440"/>
      </w:pPr>
      <w:rPr>
        <w:rFonts w:hint="default"/>
      </w:rPr>
    </w:lvl>
    <w:lvl w:ilvl="8">
      <w:start w:val="1"/>
      <w:numFmt w:val="decimal"/>
      <w:lvlText w:val="%1.%2.%3.%4.%5.%6.%7.%8.%9"/>
      <w:lvlJc w:val="left"/>
      <w:pPr>
        <w:tabs>
          <w:tab w:val="num" w:pos="-967"/>
        </w:tabs>
        <w:ind w:left="-967" w:hanging="1584"/>
      </w:pPr>
      <w:rPr>
        <w:rFonts w:hint="default"/>
      </w:rPr>
    </w:lvl>
  </w:abstractNum>
  <w:abstractNum w:abstractNumId="6" w15:restartNumberingAfterBreak="0">
    <w:nsid w:val="47FB2F1C"/>
    <w:multiLevelType w:val="hybridMultilevel"/>
    <w:tmpl w:val="6812D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98C35ED"/>
    <w:multiLevelType w:val="hybridMultilevel"/>
    <w:tmpl w:val="E3DAB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F634E1"/>
    <w:multiLevelType w:val="multilevel"/>
    <w:tmpl w:val="8BC23B5E"/>
    <w:lvl w:ilvl="0">
      <w:start w:val="1"/>
      <w:numFmt w:val="decimal"/>
      <w:lvlText w:val="%1"/>
      <w:lvlJc w:val="left"/>
      <w:pPr>
        <w:tabs>
          <w:tab w:val="num" w:pos="432"/>
        </w:tabs>
        <w:ind w:left="432" w:hanging="432"/>
      </w:pPr>
      <w:rPr>
        <w:sz w:val="36"/>
        <w:szCs w:val="36"/>
      </w:rPr>
    </w:lvl>
    <w:lvl w:ilvl="1">
      <w:start w:val="1"/>
      <w:numFmt w:val="decimal"/>
      <w:lvlText w:val="%1.%2"/>
      <w:lvlJc w:val="left"/>
      <w:pPr>
        <w:tabs>
          <w:tab w:val="num" w:pos="2947"/>
        </w:tabs>
        <w:ind w:left="2947" w:hanging="576"/>
      </w:pPr>
      <w:rPr>
        <w:b/>
        <w:i w:val="0"/>
        <w:sz w:val="24"/>
        <w:szCs w:val="24"/>
      </w:rPr>
    </w:lvl>
    <w:lvl w:ilvl="2">
      <w:start w:val="1"/>
      <w:numFmt w:val="decimal"/>
      <w:lvlText w:val="%1.%2.%3"/>
      <w:lvlJc w:val="left"/>
      <w:pPr>
        <w:tabs>
          <w:tab w:val="num" w:pos="1390"/>
        </w:tabs>
        <w:ind w:left="1390" w:hanging="720"/>
      </w:pPr>
      <w:rPr>
        <w:i w:val="0"/>
        <w:sz w:val="24"/>
        <w:szCs w:val="24"/>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9" w15:restartNumberingAfterBreak="0">
    <w:nsid w:val="54383A3A"/>
    <w:multiLevelType w:val="hybridMultilevel"/>
    <w:tmpl w:val="F4261592"/>
    <w:lvl w:ilvl="0" w:tplc="1A34BF2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CFE6690"/>
    <w:multiLevelType w:val="hybridMultilevel"/>
    <w:tmpl w:val="026C2F2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7E44486F"/>
    <w:multiLevelType w:val="hybridMultilevel"/>
    <w:tmpl w:val="82101E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8"/>
  </w:num>
  <w:num w:numId="4">
    <w:abstractNumId w:val="8"/>
  </w:num>
  <w:num w:numId="5">
    <w:abstractNumId w:val="8"/>
  </w:num>
  <w:num w:numId="6">
    <w:abstractNumId w:val="5"/>
  </w:num>
  <w:num w:numId="7">
    <w:abstractNumId w:val="8"/>
  </w:num>
  <w:num w:numId="8">
    <w:abstractNumId w:val="8"/>
  </w:num>
  <w:num w:numId="9">
    <w:abstractNumId w:val="8"/>
  </w:num>
  <w:num w:numId="10">
    <w:abstractNumId w:val="8"/>
  </w:num>
  <w:num w:numId="11">
    <w:abstractNumId w:val="7"/>
  </w:num>
  <w:num w:numId="12">
    <w:abstractNumId w:val="3"/>
  </w:num>
  <w:num w:numId="13">
    <w:abstractNumId w:val="2"/>
  </w:num>
  <w:num w:numId="14">
    <w:abstractNumId w:val="1"/>
  </w:num>
  <w:num w:numId="15">
    <w:abstractNumId w:val="11"/>
  </w:num>
  <w:num w:numId="16">
    <w:abstractNumId w:val="6"/>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47"/>
    <w:rsid w:val="00033551"/>
    <w:rsid w:val="0005512E"/>
    <w:rsid w:val="00070675"/>
    <w:rsid w:val="000963FA"/>
    <w:rsid w:val="000E166C"/>
    <w:rsid w:val="000E3A91"/>
    <w:rsid w:val="0010486E"/>
    <w:rsid w:val="00110EDD"/>
    <w:rsid w:val="00124C53"/>
    <w:rsid w:val="00151E5B"/>
    <w:rsid w:val="0017439A"/>
    <w:rsid w:val="00194ACA"/>
    <w:rsid w:val="001A4CD6"/>
    <w:rsid w:val="001B5B19"/>
    <w:rsid w:val="001B5DC9"/>
    <w:rsid w:val="001C7B53"/>
    <w:rsid w:val="001E779A"/>
    <w:rsid w:val="00212B01"/>
    <w:rsid w:val="00237F96"/>
    <w:rsid w:val="00270282"/>
    <w:rsid w:val="00277DC6"/>
    <w:rsid w:val="002C46C3"/>
    <w:rsid w:val="002C496B"/>
    <w:rsid w:val="002E2B48"/>
    <w:rsid w:val="002F50ED"/>
    <w:rsid w:val="003738B5"/>
    <w:rsid w:val="00380540"/>
    <w:rsid w:val="003D7EB0"/>
    <w:rsid w:val="003E1756"/>
    <w:rsid w:val="00407F66"/>
    <w:rsid w:val="00411B50"/>
    <w:rsid w:val="00442A9F"/>
    <w:rsid w:val="0045639B"/>
    <w:rsid w:val="004746DC"/>
    <w:rsid w:val="00484942"/>
    <w:rsid w:val="004D11DD"/>
    <w:rsid w:val="004D4127"/>
    <w:rsid w:val="004F16AF"/>
    <w:rsid w:val="004F4182"/>
    <w:rsid w:val="0051368F"/>
    <w:rsid w:val="0051763C"/>
    <w:rsid w:val="00553356"/>
    <w:rsid w:val="00587525"/>
    <w:rsid w:val="005B5934"/>
    <w:rsid w:val="005E755D"/>
    <w:rsid w:val="005F152D"/>
    <w:rsid w:val="0065373E"/>
    <w:rsid w:val="006671AB"/>
    <w:rsid w:val="006A24E4"/>
    <w:rsid w:val="006B11EE"/>
    <w:rsid w:val="006B62EB"/>
    <w:rsid w:val="006C449E"/>
    <w:rsid w:val="006D1946"/>
    <w:rsid w:val="006E1A35"/>
    <w:rsid w:val="006F4317"/>
    <w:rsid w:val="00710BB8"/>
    <w:rsid w:val="007968F4"/>
    <w:rsid w:val="007A0746"/>
    <w:rsid w:val="007C0FF9"/>
    <w:rsid w:val="007D352D"/>
    <w:rsid w:val="008120E9"/>
    <w:rsid w:val="008255BF"/>
    <w:rsid w:val="00877987"/>
    <w:rsid w:val="00877C3F"/>
    <w:rsid w:val="00881A81"/>
    <w:rsid w:val="00886C8D"/>
    <w:rsid w:val="008E6DAA"/>
    <w:rsid w:val="008F44EC"/>
    <w:rsid w:val="00916615"/>
    <w:rsid w:val="00930D49"/>
    <w:rsid w:val="00935A16"/>
    <w:rsid w:val="00972918"/>
    <w:rsid w:val="009B0F73"/>
    <w:rsid w:val="009F2710"/>
    <w:rsid w:val="00A527BC"/>
    <w:rsid w:val="00A81B15"/>
    <w:rsid w:val="00A83EFC"/>
    <w:rsid w:val="00B0657E"/>
    <w:rsid w:val="00B0758F"/>
    <w:rsid w:val="00B11772"/>
    <w:rsid w:val="00B2779A"/>
    <w:rsid w:val="00B409E9"/>
    <w:rsid w:val="00B4521F"/>
    <w:rsid w:val="00B46047"/>
    <w:rsid w:val="00B64018"/>
    <w:rsid w:val="00B70759"/>
    <w:rsid w:val="00B85BC6"/>
    <w:rsid w:val="00C5057A"/>
    <w:rsid w:val="00C61722"/>
    <w:rsid w:val="00C93CEA"/>
    <w:rsid w:val="00CF5234"/>
    <w:rsid w:val="00D31457"/>
    <w:rsid w:val="00D34F2A"/>
    <w:rsid w:val="00D71DE4"/>
    <w:rsid w:val="00D72C22"/>
    <w:rsid w:val="00DB4785"/>
    <w:rsid w:val="00DD234F"/>
    <w:rsid w:val="00DD45C7"/>
    <w:rsid w:val="00DF015A"/>
    <w:rsid w:val="00E01B62"/>
    <w:rsid w:val="00E04A05"/>
    <w:rsid w:val="00E264DD"/>
    <w:rsid w:val="00E335D6"/>
    <w:rsid w:val="00E359F3"/>
    <w:rsid w:val="00E40382"/>
    <w:rsid w:val="00EB2BEE"/>
    <w:rsid w:val="00ED17B4"/>
    <w:rsid w:val="00F01D04"/>
    <w:rsid w:val="00F33193"/>
    <w:rsid w:val="00F34572"/>
    <w:rsid w:val="00F372AD"/>
    <w:rsid w:val="00F415C0"/>
    <w:rsid w:val="00F52FB6"/>
    <w:rsid w:val="00FA76C7"/>
    <w:rsid w:val="00FF7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2242"/>
  <w15:chartTrackingRefBased/>
  <w15:docId w15:val="{52FF8158-7B08-2E4C-8CCE-55ADC9D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124C53"/>
    <w:pPr>
      <w:keepNext/>
      <w:pageBreakBefore/>
      <w:numPr>
        <w:numId w:val="1"/>
      </w:numPr>
      <w:tabs>
        <w:tab w:val="num" w:pos="432"/>
      </w:tabs>
      <w:ind w:left="432" w:hanging="432"/>
      <w:outlineLvl w:val="0"/>
    </w:pPr>
    <w:rPr>
      <w:rFonts w:cstheme="minorHAnsi"/>
      <w:b/>
      <w:bCs/>
      <w:color w:val="009EB0"/>
      <w:kern w:val="32"/>
      <w:sz w:val="36"/>
      <w:szCs w:val="18"/>
    </w:rPr>
  </w:style>
  <w:style w:type="paragraph" w:styleId="Kop2">
    <w:name w:val="heading 2"/>
    <w:aliases w:val="Sub-paragraaf,Paragraaf1,UNDERRUBRIK 1-2,h2,H2,Heading 2 Hidden,CHS,H2-Heading 2,2,Header 2,l2,Header2,22,heading2,list2,A,A.B.C.,list 2,Heading2,Heading Indent No L2,H21,H22,H23,H24,H25,H26,H27,H211,H221,H231,H241,H251,H261,Gewonekop,Kop 2 Ch"/>
    <w:basedOn w:val="Standaard"/>
    <w:next w:val="Standaard"/>
    <w:link w:val="Kop2Char"/>
    <w:autoRedefine/>
    <w:qFormat/>
    <w:rsid w:val="00070675"/>
    <w:pPr>
      <w:keepNext/>
      <w:outlineLvl w:val="1"/>
    </w:pPr>
    <w:rPr>
      <w:rFonts w:cstheme="minorHAnsi"/>
      <w:b/>
      <w:bCs/>
      <w:iCs/>
      <w:color w:val="009EB0"/>
      <w:sz w:val="28"/>
      <w:szCs w:val="28"/>
    </w:rPr>
  </w:style>
  <w:style w:type="paragraph" w:styleId="Kop3">
    <w:name w:val="heading 3"/>
    <w:basedOn w:val="Standaard"/>
    <w:next w:val="Standaard"/>
    <w:link w:val="Kop3Char"/>
    <w:autoRedefine/>
    <w:qFormat/>
    <w:rsid w:val="002C46C3"/>
    <w:pPr>
      <w:keepNext/>
      <w:ind w:firstLine="576"/>
      <w:outlineLvl w:val="2"/>
    </w:pPr>
    <w:rPr>
      <w:rFonts w:cstheme="minorHAnsi"/>
      <w:b/>
      <w:bCs/>
      <w:color w:val="009EB0"/>
    </w:rPr>
  </w:style>
  <w:style w:type="paragraph" w:styleId="Kop4">
    <w:name w:val="heading 4"/>
    <w:basedOn w:val="Standaard"/>
    <w:next w:val="Standaard"/>
    <w:link w:val="Kop4Char"/>
    <w:autoRedefine/>
    <w:qFormat/>
    <w:rsid w:val="000963FA"/>
    <w:pPr>
      <w:keepNext/>
      <w:outlineLvl w:val="3"/>
    </w:pPr>
    <w:rPr>
      <w:rFonts w:eastAsia="Times New Roman" w:cstheme="minorHAnsi"/>
      <w:b/>
      <w:color w:val="009EB0"/>
      <w:sz w:val="20"/>
      <w:szCs w:val="18"/>
      <w:shd w:val="clear" w:color="auto" w:fil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2C46C3"/>
    <w:rPr>
      <w:rFonts w:cstheme="minorHAnsi"/>
      <w:b/>
      <w:bCs/>
      <w:color w:val="009EB0"/>
    </w:rPr>
  </w:style>
  <w:style w:type="character" w:customStyle="1" w:styleId="Kop4Char">
    <w:name w:val="Kop 4 Char"/>
    <w:basedOn w:val="Standaardalinea-lettertype"/>
    <w:link w:val="Kop4"/>
    <w:rsid w:val="000963FA"/>
    <w:rPr>
      <w:rFonts w:eastAsia="Times New Roman" w:cstheme="minorHAnsi"/>
      <w:b/>
      <w:color w:val="009EB0"/>
      <w:sz w:val="20"/>
      <w:szCs w:val="18"/>
    </w:rPr>
  </w:style>
  <w:style w:type="character" w:customStyle="1" w:styleId="Kop1Char">
    <w:name w:val="Kop 1 Char"/>
    <w:basedOn w:val="Standaardalinea-lettertype"/>
    <w:link w:val="Kop1"/>
    <w:rsid w:val="00124C53"/>
    <w:rPr>
      <w:rFonts w:cstheme="minorHAnsi"/>
      <w:b/>
      <w:bCs/>
      <w:color w:val="009EB0"/>
      <w:kern w:val="32"/>
      <w:sz w:val="36"/>
      <w:szCs w:val="18"/>
    </w:rPr>
  </w:style>
  <w:style w:type="character" w:customStyle="1" w:styleId="Kop2Char">
    <w:name w:val="Kop 2 Char"/>
    <w:aliases w:val="Sub-paragraaf Char,Paragraaf1 Char,UNDERRUBRIK 1-2 Char,h2 Char,H2 Char,Heading 2 Hidden Char,CHS Char,H2-Heading 2 Char,2 Char,Header 2 Char,l2 Char,Header2 Char,22 Char,heading2 Char,list2 Char,A Char,A.B.C. Char,list 2 Char,Heading2 Char"/>
    <w:basedOn w:val="Standaardalinea-lettertype"/>
    <w:link w:val="Kop2"/>
    <w:rsid w:val="00070675"/>
    <w:rPr>
      <w:rFonts w:cstheme="minorHAnsi"/>
      <w:b/>
      <w:bCs/>
      <w:iCs/>
      <w:color w:val="009EB0"/>
      <w:sz w:val="28"/>
      <w:szCs w:val="28"/>
    </w:rPr>
  </w:style>
  <w:style w:type="paragraph" w:styleId="Koptekst">
    <w:name w:val="header"/>
    <w:basedOn w:val="Standaard"/>
    <w:link w:val="KoptekstChar"/>
    <w:uiPriority w:val="99"/>
    <w:unhideWhenUsed/>
    <w:rsid w:val="00B46047"/>
    <w:pPr>
      <w:tabs>
        <w:tab w:val="center" w:pos="4536"/>
        <w:tab w:val="right" w:pos="9072"/>
      </w:tabs>
    </w:pPr>
  </w:style>
  <w:style w:type="character" w:customStyle="1" w:styleId="KoptekstChar">
    <w:name w:val="Koptekst Char"/>
    <w:basedOn w:val="Standaardalinea-lettertype"/>
    <w:link w:val="Koptekst"/>
    <w:uiPriority w:val="99"/>
    <w:rsid w:val="00B46047"/>
  </w:style>
  <w:style w:type="paragraph" w:styleId="Voettekst">
    <w:name w:val="footer"/>
    <w:basedOn w:val="Standaard"/>
    <w:link w:val="VoettekstChar"/>
    <w:uiPriority w:val="99"/>
    <w:unhideWhenUsed/>
    <w:rsid w:val="00B46047"/>
    <w:pPr>
      <w:tabs>
        <w:tab w:val="center" w:pos="4536"/>
        <w:tab w:val="right" w:pos="9072"/>
      </w:tabs>
    </w:pPr>
  </w:style>
  <w:style w:type="character" w:customStyle="1" w:styleId="VoettekstChar">
    <w:name w:val="Voettekst Char"/>
    <w:basedOn w:val="Standaardalinea-lettertype"/>
    <w:link w:val="Voettekst"/>
    <w:uiPriority w:val="99"/>
    <w:rsid w:val="00B46047"/>
  </w:style>
  <w:style w:type="paragraph" w:styleId="Lijstalinea">
    <w:name w:val="List Paragraph"/>
    <w:basedOn w:val="Standaard"/>
    <w:uiPriority w:val="34"/>
    <w:qFormat/>
    <w:rsid w:val="00935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71">
      <w:bodyDiv w:val="1"/>
      <w:marLeft w:val="0"/>
      <w:marRight w:val="0"/>
      <w:marTop w:val="0"/>
      <w:marBottom w:val="0"/>
      <w:divBdr>
        <w:top w:val="none" w:sz="0" w:space="0" w:color="auto"/>
        <w:left w:val="none" w:sz="0" w:space="0" w:color="auto"/>
        <w:bottom w:val="none" w:sz="0" w:space="0" w:color="auto"/>
        <w:right w:val="none" w:sz="0" w:space="0" w:color="auto"/>
      </w:divBdr>
    </w:div>
    <w:div w:id="158271043">
      <w:bodyDiv w:val="1"/>
      <w:marLeft w:val="0"/>
      <w:marRight w:val="0"/>
      <w:marTop w:val="0"/>
      <w:marBottom w:val="0"/>
      <w:divBdr>
        <w:top w:val="none" w:sz="0" w:space="0" w:color="auto"/>
        <w:left w:val="none" w:sz="0" w:space="0" w:color="auto"/>
        <w:bottom w:val="none" w:sz="0" w:space="0" w:color="auto"/>
        <w:right w:val="none" w:sz="0" w:space="0" w:color="auto"/>
      </w:divBdr>
    </w:div>
    <w:div w:id="284973035">
      <w:bodyDiv w:val="1"/>
      <w:marLeft w:val="0"/>
      <w:marRight w:val="0"/>
      <w:marTop w:val="0"/>
      <w:marBottom w:val="0"/>
      <w:divBdr>
        <w:top w:val="none" w:sz="0" w:space="0" w:color="auto"/>
        <w:left w:val="none" w:sz="0" w:space="0" w:color="auto"/>
        <w:bottom w:val="none" w:sz="0" w:space="0" w:color="auto"/>
        <w:right w:val="none" w:sz="0" w:space="0" w:color="auto"/>
      </w:divBdr>
    </w:div>
    <w:div w:id="564528044">
      <w:bodyDiv w:val="1"/>
      <w:marLeft w:val="0"/>
      <w:marRight w:val="0"/>
      <w:marTop w:val="0"/>
      <w:marBottom w:val="0"/>
      <w:divBdr>
        <w:top w:val="none" w:sz="0" w:space="0" w:color="auto"/>
        <w:left w:val="none" w:sz="0" w:space="0" w:color="auto"/>
        <w:bottom w:val="none" w:sz="0" w:space="0" w:color="auto"/>
        <w:right w:val="none" w:sz="0" w:space="0" w:color="auto"/>
      </w:divBdr>
    </w:div>
    <w:div w:id="608778529">
      <w:bodyDiv w:val="1"/>
      <w:marLeft w:val="0"/>
      <w:marRight w:val="0"/>
      <w:marTop w:val="0"/>
      <w:marBottom w:val="0"/>
      <w:divBdr>
        <w:top w:val="none" w:sz="0" w:space="0" w:color="auto"/>
        <w:left w:val="none" w:sz="0" w:space="0" w:color="auto"/>
        <w:bottom w:val="none" w:sz="0" w:space="0" w:color="auto"/>
        <w:right w:val="none" w:sz="0" w:space="0" w:color="auto"/>
      </w:divBdr>
    </w:div>
    <w:div w:id="1199005976">
      <w:bodyDiv w:val="1"/>
      <w:marLeft w:val="0"/>
      <w:marRight w:val="0"/>
      <w:marTop w:val="0"/>
      <w:marBottom w:val="0"/>
      <w:divBdr>
        <w:top w:val="none" w:sz="0" w:space="0" w:color="auto"/>
        <w:left w:val="none" w:sz="0" w:space="0" w:color="auto"/>
        <w:bottom w:val="none" w:sz="0" w:space="0" w:color="auto"/>
        <w:right w:val="none" w:sz="0" w:space="0" w:color="auto"/>
      </w:divBdr>
    </w:div>
    <w:div w:id="1585870376">
      <w:bodyDiv w:val="1"/>
      <w:marLeft w:val="0"/>
      <w:marRight w:val="0"/>
      <w:marTop w:val="0"/>
      <w:marBottom w:val="0"/>
      <w:divBdr>
        <w:top w:val="none" w:sz="0" w:space="0" w:color="auto"/>
        <w:left w:val="none" w:sz="0" w:space="0" w:color="auto"/>
        <w:bottom w:val="none" w:sz="0" w:space="0" w:color="auto"/>
        <w:right w:val="none" w:sz="0" w:space="0" w:color="auto"/>
      </w:divBdr>
    </w:div>
    <w:div w:id="21084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931F50928D940B6A9046C7FAEA6C6" ma:contentTypeVersion="10" ma:contentTypeDescription="Een nieuw document maken." ma:contentTypeScope="" ma:versionID="cc26e94ae1cf822c5317db50f0e3b5d0">
  <xsd:schema xmlns:xsd="http://www.w3.org/2001/XMLSchema" xmlns:xs="http://www.w3.org/2001/XMLSchema" xmlns:p="http://schemas.microsoft.com/office/2006/metadata/properties" xmlns:ns2="d4ff84c2-8ec3-4bb4-908f-4fcbc60fcea7" xmlns:ns3="ce247993-7ef5-4786-b202-467a9a94dcc2" targetNamespace="http://schemas.microsoft.com/office/2006/metadata/properties" ma:root="true" ma:fieldsID="a91a5ac58732b80a0565fccd420a2a01" ns2:_="" ns3:_="">
    <xsd:import namespace="d4ff84c2-8ec3-4bb4-908f-4fcbc60fcea7"/>
    <xsd:import namespace="ce247993-7ef5-4786-b202-467a9a94dc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f84c2-8ec3-4bb4-908f-4fcbc60fc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47993-7ef5-4786-b202-467a9a94dc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B2230-8C65-42D2-A3A4-D68A23BBC3C8}">
  <ds:schemaRefs>
    <ds:schemaRef ds:uri="http://schemas.microsoft.com/sharepoint/v3/contenttype/forms"/>
  </ds:schemaRefs>
</ds:datastoreItem>
</file>

<file path=customXml/itemProps2.xml><?xml version="1.0" encoding="utf-8"?>
<ds:datastoreItem xmlns:ds="http://schemas.openxmlformats.org/officeDocument/2006/customXml" ds:itemID="{4104F30F-E870-4263-96D6-0D95EF27D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f84c2-8ec3-4bb4-908f-4fcbc60fcea7"/>
    <ds:schemaRef ds:uri="ce247993-7ef5-4786-b202-467a9a94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C656B-134F-45A2-8C3E-F638FCDFC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624</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Veen</dc:creator>
  <cp:keywords/>
  <dc:description/>
  <cp:lastModifiedBy>Khalil Yaqoob</cp:lastModifiedBy>
  <cp:revision>47</cp:revision>
  <dcterms:created xsi:type="dcterms:W3CDTF">2021-01-20T14:33:00Z</dcterms:created>
  <dcterms:modified xsi:type="dcterms:W3CDTF">2021-01-25T10:38:00Z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0x010100B73931F50928D940B6A9046C7FAEA6C6</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